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nf7trgdb_3nnbaq2f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epesay9f8fjwonobq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июня 2017 года № 389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привлечения и использования международной грантовой и технической помощи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привлечения и использования международной грантовой и технической помощи, поступающей в Кыргызскую Республику от доноров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органы исполнительной власти и органы местного самоуправления, подчиняющиеся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грантовая и техническая помощь</w:t>
      </w:r>
      <w:r>
        <w:rPr>
          <w:rFonts w:ascii="Arial" w:cs="Arial" w:eastAsia="Arial" w:hAnsi="Arial"/>
          <w:sz w:val="24"/>
          <w:szCs w:val="24"/>
        </w:rPr>
        <w:t xml:space="preserve"> - виды помощи, безвозмездно предоставляемые Кыргызской Республике донорами для оказания поддержки в социальных и экономических преобразованиях, путем проведения исследований, обучения, направления специалистов, передачи опыта и технологий, денежных средств, поставки оборудования и других товаров (имущества), а также в форме организации и/или проведения семинаров, конференций и других мероприятий. К термину "международная грантовая и техническая помощь" также относится закупка работ, услуг и консультационных услуг донорами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доноры</w:t>
      </w:r>
      <w:r>
        <w:rPr>
          <w:rFonts w:ascii="Arial" w:cs="Arial" w:eastAsia="Arial" w:hAnsi="Arial"/>
          <w:sz w:val="24"/>
          <w:szCs w:val="24"/>
        </w:rPr>
        <w:t xml:space="preserve"> - иностранное государство (его административно-территориальная единица), международная организация, их представительства, либо уполномоченные этим государством и организацией субъекты права, предоставляющие международную грантовую и техническую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исполнительные агентства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 органы местного самоуправления Кыргызской Республики, непосредственно получающие и использующие международную грантовую и техническую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настоящего Положения является улучшение координации, систематизации, упорядочения, мониторинга, учета и эффективного использования международной грантовой и технической помощи, поступающей в Кыргызскую Республику от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координации процесса привлечения и использования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ориентация международной грантовой и технической помощи на достижение целей государственных программ/стратегий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и систематизация процесса привлечения, мониторинга и учета/регистрации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регистрации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процесса привлечения и использования международной грантовой и 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Положение не распространяется на проекты международной грантовой и технической помощи, непосредственно направленные на подготовку проектов программы государственных инвестиций, координацию которых осуществляет уполномоченный орган по прогнозированию и исполнению бюджета, а также на экстренную гуманитарную помощь, помощь, направленную на обеспечение национальной безопасности, военную и продовольственную помощь, поступающую в Кыргызскую Республику от 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Механизм координации процесса привлечения и использования международной грантовой и технической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Координацию процесса привлечения и использования международной грантовой и технической помощи осуществляет Министерство экономики Кыргызской Республики - уполномоченный орган по экономическому прогнозированию (далее - уполномоченный орган), в части,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участвует в обсуждении и ведении переговоров от имени Кыргызской Республики с донорами по вопросам привлечения международной грантовой и технической помощи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Обращение исполнительных агентств к донорам по вопросам привлечения международной грантовой и технической помощи осуществляется только по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Исполнительные агентства при внесении проектных предложений на согласование с уполномоченным органом представляют информацию о ранее реализованных проектах внешней помощи в соответствующей сфере и об их результатах.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течение десяти рабочих дней после получения проектного предложения представляет заключение о целесообразности или нецелесообразности реализации проекта международной грантовой и 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о целесообразности реализации проекта международной грантовой и технической помощи принимается уполномоченным органом на основе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проекта приоритетам социально-экономического развития Кыргызской Республики и/или соответствующей секторальной стратегии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существенное воздействие результатов проекта на социально-экономическое положение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дальнейшая устойчивость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выравнивание социально-экономического развития различных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дублирования проекта с другими проектами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подписания соглашения о реализации проекта с донором, проект международной грантовой и технической помощи подлежит обязательной государственной регистрации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получения заключения о нецелесообразности реализации проекта заявитель/исполнительное агентство имеет право в течение 30 календарных дней устранить замечания, указанные в заключении уполномоченного органа, и повторно внести проект на рассмотрение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государственной регистрации проектов международной грантовой и технической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регистрация проектов международной грантовой и технической помощи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государственной регистрации проектов исполнительные агентства представляют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государственной регистрации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уполномоченного органа о целесообразности реализации проекта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проекта, составленный по форме согласно </w:t>
      </w:r>
      <w:hyperlink w:history="1" r:id="rIddhonlgzi2xfuekbm7w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электронном и бумажном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соглашения о реализации проекта, подписанного с донором;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соглашения на русский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закупок товаров, работ и услуг в рамках проекта в электронном и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рассматривает представленные исполнительными агентствами документы в течение 10 рабочих дней со дня поступления документов, указанных в пункте 16 настоящего Положения, и принимает решение о проведении государственной регистрации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присваивает проекту регистрационный номер и ведет реестр проектов международной грантовой и технической помощи, который размещается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регистрация проекта подтверждается справкой о регистрации проекта, которая подписывается уполномоченным лицом, удостоверяется печатью и выдается заявителю/исполнительному агентству.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отказывает в государственной регистрации проекта в случае отсутствия документов, указанных в пункте 16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Мониторинг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Информация, представляемая исполнительными агентствами на ежеквартальной основе (не позднее 15 числа месяца, следующего за отчетным) в уполномоченный орган,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ходе реализации мероприятий, предусмотренных в техническом задании, и достигнутых результатах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анализ, причины невыполнения либо некачественного выполнения мероприятий, а также предложения по повышению эффективности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завершения проекта исполнительные агентства не позднее трех месяцев с даты завершения проекта представляют в уполномоченный орган итоговый отчет о достигнутых результатах по форме согласно </w:t>
      </w:r>
      <w:hyperlink w:history="1" r:id="rId3xu-f5rxpkfgkywz9e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В случае непредоставления итогового отчета итоги реализации проекта считаются неудовлетворительными.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Итоги реализации проекта принимаются во внимание уполномоченным органом при предоставлении заключения о целесообразности реализации следующего проекта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Итоговый отчет о достигнутых результатах размещается исполнительными агентствами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вправе при необходимости запрашивать дополнительную информацию о ходе реализации и результатах проекта международной грантовой и 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на основе полученной информации осуществляет сводный анализ, вырабатывает рекомендации и меры по дальнейшему процессу привлечения и использования международной грантовой и технической помощи. Для этого могут образовываться экспертные советы, рабочие группы с привлечением представителей соответствующих министерств и ведомств, представителей доноров, неправительственных организаций,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орган, при необходимости, но не реже чем один раз в год, выносит на обсуждение и рассмотрение Координационного совета по макроэкономической и инвестиционной политике при Правительстве Кыргызской Республики сводную информацию о реализованных проектах грантовой и технической помощи, а также анализ, рекомендации и предложения по повышению эффективности использования международной грантовой и 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проблемных вопросов при реализации проекта международной грантовой и технической помощи решение о дальнейшей реализации проекта принимается Координационным советом по макроэкономической и инвестиционной политике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привлечения и использования международной грантовой и технической помощи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проекта технической помощи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 проекта/исполнительного агентства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донора/международной организации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реализации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и задачи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подписания соглашения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Предполагаемые мероприятия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проекта/стоимость по компонентам и категориям расходов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в том числе стратегии и программы, в соответствии с которыми предполагается реализация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группы, в том числе основные выгодополучатели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конечного результата - индикаторы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Софинансирование/вклад кыргызской стороны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Контактное лицо исполнительного агентства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привлечения и использования международной грантовой и технической помощи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Итоговый отчет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исполнительного агентства 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71"/>
        <w:gridCol w:w="2364"/>
        <w:gridCol w:w="1969"/>
        <w:gridCol w:w="1816"/>
        <w:gridCol w:w="189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2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проекта</w:t>
            </w:r>
          </w:p>
        </w:tc>
        <w:tc>
          <w:tcPr>
            <w:tcW w:type="dxa" w:w="1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Проведенные мероприятия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Достигнутые результаты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Выводы и рекомендации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u7egby-vydcnsdsrg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dalil.kg/document/100100</w:t>
      </w:r>
    </w:hyperlink>
  </w:p>
  <w:p>
    <w:pPr>
      <w:spacing w:after="0" w:before="40"/>
      <w:jc w:val="center"/>
    </w:pPr>
    <w:hyperlink w:history="1" r:id="rIdni4qikeu2lfpiujelp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nf7trgdb_3nnbaq2fq4" Type="http://schemas.openxmlformats.org/officeDocument/2006/relationships/hyperlink" Target="https://dalil.kg/document/230039559" TargetMode="External"/><Relationship Id="rId3epesay9f8fjwonobqjsf" Type="http://schemas.openxmlformats.org/officeDocument/2006/relationships/hyperlink" Target="https://dalil.kg/document/100099" TargetMode="External"/><Relationship Id="rIddhonlgzi2xfuekbm7wn8k" Type="http://schemas.openxmlformats.org/officeDocument/2006/relationships/hyperlink" Target="https://dalil.kg/document/100100#&#1088;1" TargetMode="External"/><Relationship Id="rId3xu-f5rxpkfgkywz9eajo" Type="http://schemas.openxmlformats.org/officeDocument/2006/relationships/hyperlink" Target="https://dalil.kg/document/100100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u7egby-vydcnsdsrgwl" Type="http://schemas.openxmlformats.org/officeDocument/2006/relationships/hyperlink" Target="https://dalil.kg/document/100100" TargetMode="External"/><Relationship Id="rIdni4qikeu2lfpiujelpq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2026-09-24T15:54:45.760Z</dcterms:created>
  <dcterms:modified xsi:type="dcterms:W3CDTF">2026-09-24T15:54:45.760Z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