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2017 года № 484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Закон Кыргызской Республики "О государственной поддержке кинематографии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btj_puwpylzln6kiau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blou_zkowsanmjixhle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</w:t>
        </w:r>
      </w:hyperlink>
      <w:r>
        <w:rPr>
          <w:rFonts w:ascii="Arial" w:cs="Arial" w:eastAsia="Arial" w:hAnsi="Arial"/>
          <w:sz w:val="24"/>
          <w:szCs w:val="24"/>
        </w:rPr>
        <w:t xml:space="preserve">т Закона Кыргызской Республики "О внесении изменения в </w:t>
      </w:r>
      <w:hyperlink w:history="1" r:id="rId-exrvkvhsoq1xyfg8te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поддержке кинематографии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культуры, информации и туризма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государственной поддержке кинематографии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поддержке кинематографии Кыргызской Республики" (газета "Эркин Тоо" от 10 октября 2001 года № 74)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статьи 5 после слов "произведений не допускается" дополнить словами ", за исключением случаев, предусмотренных статьей 6 настоящего Закона".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xiackfd1vi1dihbn1p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dalil.kg/document/100217</w:t>
      </w:r>
    </w:hyperlink>
  </w:p>
  <w:p>
    <w:pPr>
      <w:spacing w:after="0" w:before="40"/>
      <w:jc w:val="center"/>
    </w:pPr>
    <w:hyperlink w:history="1" r:id="rIdqy9z2_unylf4bh0vg-t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tj_puwpylzln6kiaugf" Type="http://schemas.openxmlformats.org/officeDocument/2006/relationships/hyperlink" Target="https://dalil.kg/document/202913" TargetMode="External"/><Relationship Id="rIdblou_zkowsanmjixhlesn" Type="http://schemas.openxmlformats.org/officeDocument/2006/relationships/hyperlink" Target="https://dalil.kg/document/100217#&#1088;1" TargetMode="External"/><Relationship Id="rId-exrvkvhsoq1xyfg8te8d" Type="http://schemas.openxmlformats.org/officeDocument/2006/relationships/hyperlink" Target="https://dalil.kg/document/9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xiackfd1vi1dihbn1pj5" Type="http://schemas.openxmlformats.org/officeDocument/2006/relationships/hyperlink" Target="https://dalil.kg/document/100217" TargetMode="External"/><Relationship Id="rIdqy9z2_unylf4bh0vg-t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2026-10-03T05:51:05.266Z</dcterms:created>
  <dcterms:modified xsi:type="dcterms:W3CDTF">2026-10-03T05:51:05.266Z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