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18 августа 2017 года № 498</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изменений в Закон Кыргызской Республики "Об образовании"</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wfda-jqzrxv5ifnw9wj_w">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po31787ebg-essvb9wy4o">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w:t>
      </w:r>
      <w:hyperlink w:history="1" r:id="rId3lp3b_zj5m8mogm6vkvs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инициированный депутатом Жогорку Кенеша Кыргызской Республики Омурбековой А.С.</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С.Ш.Жээнбеков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18 августа 2017 года № 498</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изменений в Закон Кыргызской Республики "Об образовании"</w:t>
      </w:r>
    </w:p>
    <w:p>
      <w:pPr>
        <w:spacing w:after="120"/>
        <w:jc w:val="both"/>
      </w:pPr>
      <w:r>
        <w:rPr>
          <w:rFonts w:ascii="Arial" w:cs="Arial" w:eastAsia="Arial" w:hAnsi="Arial"/>
          <w:sz w:val="24"/>
          <w:szCs w:val="24"/>
        </w:rPr>
        <w:t xml:space="preserve">Правительство Кыргызской Республики (далее - Правительство)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образовании", инициированный депутатом Жогорку Кенеша Кыргызской Республики Омурбековой А.С., приходит к следующему заключению.</w:t>
      </w:r>
    </w:p>
    <w:p>
      <w:pPr>
        <w:spacing w:after="120"/>
        <w:jc w:val="both"/>
      </w:pPr>
      <w:r>
        <w:rPr>
          <w:rFonts w:ascii="Arial" w:cs="Arial" w:eastAsia="Arial" w:hAnsi="Arial"/>
          <w:sz w:val="24"/>
          <w:szCs w:val="24"/>
        </w:rPr>
        <w:t xml:space="preserve">1. Частью 1 статьи 1 законопроекта предлагается дополнить часть 1 </w:t>
      </w:r>
      <w:r>
        <w:rPr>
          <w:rFonts w:ascii="Arial" w:cs="Arial" w:eastAsia="Arial" w:hAnsi="Arial"/>
          <w:sz w:val="24"/>
          <w:szCs w:val="24"/>
        </w:rPr>
        <w:t xml:space="preserve">статьи 25</w:t>
      </w:r>
      <w:r>
        <w:rPr>
          <w:rFonts w:ascii="Arial" w:cs="Arial" w:eastAsia="Arial" w:hAnsi="Arial"/>
          <w:sz w:val="24"/>
          <w:szCs w:val="24"/>
        </w:rPr>
        <w:t xml:space="preserve"> Закона Кыргызской Республики "Об образовании" нормой, согласно которой выпускники, полностью освоившие основные профессиональные образовательные программы и выдержавшие итоговую государственную аттестацию, включающую сдачу общереспубликанского квалификационного тестирования, имеют право получить документ об образовании и (или) квалификацию государственного образца.</w:t>
      </w:r>
    </w:p>
    <w:p>
      <w:pPr>
        <w:spacing w:after="120"/>
        <w:jc w:val="both"/>
      </w:pPr>
      <w:r>
        <w:rPr>
          <w:rFonts w:ascii="Arial" w:cs="Arial" w:eastAsia="Arial" w:hAnsi="Arial"/>
          <w:sz w:val="24"/>
          <w:szCs w:val="24"/>
        </w:rPr>
        <w:t xml:space="preserve">Вместе с тем необходимо отметить, что </w:t>
      </w:r>
      <w:r>
        <w:rPr>
          <w:rFonts w:ascii="Arial" w:cs="Arial" w:eastAsia="Arial" w:hAnsi="Arial"/>
          <w:sz w:val="24"/>
          <w:szCs w:val="24"/>
        </w:rPr>
        <w:t xml:space="preserve">Положением</w:t>
      </w:r>
      <w:r>
        <w:rPr>
          <w:rFonts w:ascii="Arial" w:cs="Arial" w:eastAsia="Arial" w:hAnsi="Arial"/>
          <w:sz w:val="24"/>
          <w:szCs w:val="24"/>
        </w:rPr>
        <w:t xml:space="preserve"> об итоговой государственной аттестации выпускников высших учебных заведений Кыргызской Республики,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от 29 мая 2012 года № 346, предусмотрено два основных вида итоговой аттестации: государственный экзамен и защита выпускной квалификационной работы.</w:t>
      </w:r>
    </w:p>
    <w:p>
      <w:pPr>
        <w:spacing w:after="120"/>
        <w:jc w:val="both"/>
      </w:pPr>
      <w:r>
        <w:rPr>
          <w:rFonts w:ascii="Arial" w:cs="Arial" w:eastAsia="Arial" w:hAnsi="Arial"/>
          <w:sz w:val="24"/>
          <w:szCs w:val="24"/>
        </w:rPr>
        <w:t xml:space="preserve">При этом, государственный экзамен должен выявить не только понимание студентом основных теоретических положений, умение применять их в профессиональной сфере, но и продемонстрировать уровень владения важнейшими общенаучными, социально-личностными и инструментальными компетенциями (в том числе, умение вести дискуссию, анализировать, критически оценивать и т.д.) по всему комплексу профессиональных модулей, изученных в течение 4 лет (бакалавриат), 2 лет (магистратура), 5 лет (специалитет).</w:t>
      </w:r>
    </w:p>
    <w:p>
      <w:pPr>
        <w:spacing w:after="120"/>
        <w:jc w:val="both"/>
      </w:pPr>
      <w:r>
        <w:rPr>
          <w:rFonts w:ascii="Arial" w:cs="Arial" w:eastAsia="Arial" w:hAnsi="Arial"/>
          <w:sz w:val="24"/>
          <w:szCs w:val="24"/>
        </w:rPr>
        <w:t xml:space="preserve">Кроме того, еще более глубокая демонстрация универсальных и профессиональных компетенций выпускников предусмотрена при выполнении и защите выпускных квалификационных работ.</w:t>
      </w:r>
    </w:p>
    <w:p>
      <w:pPr>
        <w:spacing w:after="120"/>
        <w:jc w:val="both"/>
      </w:pPr>
      <w:r>
        <w:rPr>
          <w:rFonts w:ascii="Arial" w:cs="Arial" w:eastAsia="Arial" w:hAnsi="Arial"/>
          <w:sz w:val="24"/>
          <w:szCs w:val="24"/>
        </w:rPr>
        <w:t xml:space="preserve">Формат предлагаемых тестов в высшем профессиональном образовании не позволит определить реальный уровень владения выпускниками общими или профессиональными компетенциями.</w:t>
      </w:r>
    </w:p>
    <w:p>
      <w:pPr>
        <w:spacing w:after="120"/>
        <w:jc w:val="both"/>
      </w:pPr>
      <w:r>
        <w:rPr>
          <w:rFonts w:ascii="Arial" w:cs="Arial" w:eastAsia="Arial" w:hAnsi="Arial"/>
          <w:sz w:val="24"/>
          <w:szCs w:val="24"/>
        </w:rPr>
        <w:t xml:space="preserve">Необходимо также учитывать, что программы высшего образования в соответствии с макетом Государственного образовательного стандарта высшего профессионального образования Кыргызской Республики по направлению подготовки "бакалавр" и с макетом Государственного образовательного стандарта высшего профессионального образования Кыргызской Республики по направлению подготовки "магистр",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23 августа 2011 года № 496, имеют высокую степень вариативности: так в бакалавриате вариативная часть составляет в среднем 40 процентов, а в магистратуре достигает 60 процентов. В силу указанных причин программы одного и того же направления в разных высших учебных заведениях (далее - вуз) могут сильно отличаться, акцентируя внимание в соответствии с миссией вуза, например, на прикладных задачах, исследованиях, региональной или отраслевой специфике и т.д.</w:t>
      </w:r>
    </w:p>
    <w:p>
      <w:pPr>
        <w:spacing w:after="120"/>
        <w:jc w:val="both"/>
      </w:pPr>
      <w:r>
        <w:rPr>
          <w:rFonts w:ascii="Arial" w:cs="Arial" w:eastAsia="Arial" w:hAnsi="Arial"/>
          <w:sz w:val="24"/>
          <w:szCs w:val="24"/>
        </w:rPr>
        <w:t xml:space="preserve">Данная особенность приводит к тому, что и программы итоговых испытаний в вузах могут существенно отличаться. Таким образом, стандартизированный тест не позволит качественно оценить результаты обучения выпускников.</w:t>
      </w:r>
    </w:p>
    <w:p>
      <w:pPr>
        <w:spacing w:after="120"/>
        <w:jc w:val="both"/>
      </w:pPr>
      <w:r>
        <w:rPr>
          <w:rFonts w:ascii="Arial" w:cs="Arial" w:eastAsia="Arial" w:hAnsi="Arial"/>
          <w:sz w:val="24"/>
          <w:szCs w:val="24"/>
        </w:rPr>
        <w:t xml:space="preserve">На основании вышеизложенного статью 1 законопроекта предлагаем исключить.</w:t>
      </w:r>
    </w:p>
    <w:p>
      <w:pPr>
        <w:spacing w:after="120"/>
        <w:jc w:val="both"/>
      </w:pPr>
      <w:r>
        <w:rPr>
          <w:rFonts w:ascii="Arial" w:cs="Arial" w:eastAsia="Arial" w:hAnsi="Arial"/>
          <w:sz w:val="24"/>
          <w:szCs w:val="24"/>
        </w:rPr>
        <w:t xml:space="preserve">2. Пунктом 1 части 2 статьи 1 законопроекта предлагается установить, что в целях подтверждения качества предоставляемого высшего профессионального образования осуществляется общереспубликанское квалификационное тестирование выпускников вузов в установленном порядке. Однако следует отметить неясность: о каком именно установленном порядке идет речь и каким актом он устанавливается.</w:t>
      </w:r>
    </w:p>
    <w:p>
      <w:pPr>
        <w:spacing w:after="120"/>
        <w:jc w:val="both"/>
      </w:pPr>
      <w:r>
        <w:rPr>
          <w:rFonts w:ascii="Arial" w:cs="Arial" w:eastAsia="Arial" w:hAnsi="Arial"/>
          <w:sz w:val="24"/>
          <w:szCs w:val="24"/>
        </w:rPr>
        <w:t xml:space="preserve">3. Пунктом 2 части 2 статьи 1 законопроекта предлагается дополнить </w:t>
      </w:r>
      <w:r>
        <w:rPr>
          <w:rFonts w:ascii="Arial" w:cs="Arial" w:eastAsia="Arial" w:hAnsi="Arial"/>
          <w:sz w:val="24"/>
          <w:szCs w:val="24"/>
        </w:rPr>
        <w:t xml:space="preserve">статью 40</w:t>
      </w:r>
      <w:r>
        <w:rPr>
          <w:rFonts w:ascii="Arial" w:cs="Arial" w:eastAsia="Arial" w:hAnsi="Arial"/>
          <w:sz w:val="24"/>
          <w:szCs w:val="24"/>
        </w:rPr>
        <w:t xml:space="preserve"> Закона Кыргызской Республики "Об образовании" частью 17, в соответствии с которой общереспубликанские квалификационные тесты разрабатываются на основе государственных стандартов и профессиональных стандартов.</w:t>
      </w:r>
    </w:p>
    <w:p>
      <w:pPr>
        <w:spacing w:after="120"/>
        <w:jc w:val="both"/>
      </w:pPr>
      <w:r>
        <w:rPr>
          <w:rFonts w:ascii="Arial" w:cs="Arial" w:eastAsia="Arial" w:hAnsi="Arial"/>
          <w:sz w:val="24"/>
          <w:szCs w:val="24"/>
        </w:rPr>
        <w:t xml:space="preserve">При этом, необходимо отметить, что в соответствии с частью 3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нормативных правовых актах Кыргызской Республики" при необходимости уточнения терминов и понятий, используемых в нормативном правовом акте, в нем помещается статья (пункт), разъясняющая их значение. В данном случае в проекте Закона и в </w:t>
      </w:r>
      <w:r>
        <w:rPr>
          <w:rFonts w:ascii="Arial" w:cs="Arial" w:eastAsia="Arial" w:hAnsi="Arial"/>
          <w:sz w:val="24"/>
          <w:szCs w:val="24"/>
        </w:rPr>
        <w:t xml:space="preserve">Законе</w:t>
      </w:r>
      <w:r>
        <w:rPr>
          <w:rFonts w:ascii="Arial" w:cs="Arial" w:eastAsia="Arial" w:hAnsi="Arial"/>
          <w:sz w:val="24"/>
          <w:szCs w:val="24"/>
        </w:rPr>
        <w:t xml:space="preserve"> Кыргызской Республики "Об образовании" не установлены положения, разъясняющие значение понятия "профессиональные стандарты", а также в справке-обосновании отсутствует информация об источнике финансирования для их разработки.</w:t>
      </w:r>
    </w:p>
    <w:p>
      <w:pPr>
        <w:spacing w:after="120"/>
        <w:jc w:val="both"/>
      </w:pPr>
      <w:r>
        <w:rPr>
          <w:rFonts w:ascii="Arial" w:cs="Arial" w:eastAsia="Arial" w:hAnsi="Arial"/>
          <w:sz w:val="24"/>
          <w:szCs w:val="24"/>
        </w:rPr>
        <w:t xml:space="preserve">4. Пунктом 3 статьи 2 законопроекта предусмотрено, что общереспубликанское квалификационное тестирование осуществляется негосударственной некоммерческой организацией, выбранной на основе тендера и получившей заказ на проведение тестирования от уполномоченного государственного органа в сфере образования, при этом затраты на проведение тестирования оплачиваются высшими учебными заведениями.</w:t>
      </w:r>
    </w:p>
    <w:p>
      <w:pPr>
        <w:spacing w:after="120"/>
        <w:jc w:val="both"/>
      </w:pPr>
      <w:r>
        <w:rPr>
          <w:rFonts w:ascii="Arial" w:cs="Arial" w:eastAsia="Arial" w:hAnsi="Arial"/>
          <w:sz w:val="24"/>
          <w:szCs w:val="24"/>
        </w:rPr>
        <w:t xml:space="preserve">В мировой практике отсутствует опыт проведения тестовых итоговых испытаний выпускников вузов негосударственными некоммерческими организациями. Во многих странах (США, Франция и др.) только по некоторым специфическим направлениям подготовки (в частности, педагогическим, медицинским, инженерным) для осуществления профессиональной деятельности проводится дополнительная сертификация (профессиональный экзамен). Однако такая профессиональная оценка проводится профессиональными ассоциациями соответствующего профиля.</w:t>
      </w:r>
    </w:p>
    <w:p>
      <w:pPr>
        <w:spacing w:after="120"/>
        <w:jc w:val="both"/>
      </w:pPr>
      <w:r>
        <w:rPr>
          <w:rFonts w:ascii="Arial" w:cs="Arial" w:eastAsia="Arial" w:hAnsi="Arial"/>
          <w:sz w:val="24"/>
          <w:szCs w:val="24"/>
        </w:rPr>
        <w:t xml:space="preserve">Также, согласно справке-обоснованию к представленному законопроекту, затраты на проведение общереспубликанского квалифицированного тестирования (далее - тестирование) оплачиваются вузами и не потребуется дополнительных средств из республиканского бюджета. Данное положение может привести к повышению размера цены контракта студентов, что в свою очередь может вызвать социальное напряжение среди данной категории обучающихся.</w:t>
      </w:r>
    </w:p>
    <w:p>
      <w:pPr>
        <w:spacing w:after="120"/>
        <w:jc w:val="both"/>
      </w:pPr>
      <w:r>
        <w:rPr>
          <w:rFonts w:ascii="Arial" w:cs="Arial" w:eastAsia="Arial" w:hAnsi="Arial"/>
          <w:sz w:val="24"/>
          <w:szCs w:val="24"/>
        </w:rPr>
        <w:t xml:space="preserve">Кроме того, в республике имеется ряд вузов, которые финансируются из республиканского бюджета (Национальная академия художеств Кыргызской Республики имени Т.Садыкова, Военный институт Вооруженных Сил Кыргызской Республики имени К.Усенбекова, Академия Министерства внутренних дел Кыргызской Республики имени Э.Алиева, Кыргызский государственный институт искусств имени Б.Бейшеналиевой, Кыргызская национальная консерватория имени Калыя Молдобасанова, Кыргызская государственная академия физической культуры и спорта и др.). В случае проведения тестирования в указанных вузах потребуется выделение дополнительных средств из республиканского бюджета.</w:t>
      </w:r>
    </w:p>
    <w:p>
      <w:pPr>
        <w:spacing w:after="120"/>
        <w:jc w:val="both"/>
      </w:pPr>
      <w:r>
        <w:rPr>
          <w:rFonts w:ascii="Arial" w:cs="Arial" w:eastAsia="Arial" w:hAnsi="Arial"/>
          <w:sz w:val="24"/>
          <w:szCs w:val="24"/>
        </w:rPr>
        <w:t xml:space="preserve">На основании вышеизложенного, принимая во внимание специфичность вышеупомянутых вузов, Правительство считает пункт 3 части 2 обозначенной статьи законопроекта неприемлемым и преждевременным.</w:t>
      </w:r>
    </w:p>
    <w:p>
      <w:pPr>
        <w:spacing w:after="120"/>
        <w:jc w:val="both"/>
      </w:pPr>
      <w:r>
        <w:rPr>
          <w:rFonts w:ascii="Arial" w:cs="Arial" w:eastAsia="Arial" w:hAnsi="Arial"/>
          <w:sz w:val="24"/>
          <w:szCs w:val="24"/>
        </w:rPr>
        <w:t xml:space="preserve">5. Пунктом 4 части 2 статьи 1 законопроекта предлагается дополнить </w:t>
      </w:r>
      <w:r>
        <w:rPr>
          <w:rFonts w:ascii="Arial" w:cs="Arial" w:eastAsia="Arial" w:hAnsi="Arial"/>
          <w:sz w:val="24"/>
          <w:szCs w:val="24"/>
        </w:rPr>
        <w:t xml:space="preserve">статью 40</w:t>
      </w:r>
      <w:r>
        <w:rPr>
          <w:rFonts w:ascii="Arial" w:cs="Arial" w:eastAsia="Arial" w:hAnsi="Arial"/>
          <w:sz w:val="24"/>
          <w:szCs w:val="24"/>
        </w:rPr>
        <w:t xml:space="preserve"> Закона Кыргызской Республики "Об образовании" частью 19, согласно которой уполномоченным государственным органом в области образования устанавливается пороговый уровень результатов общереспубликанского квалификационного тестирования образовательной программы высшего профессионального образования.</w:t>
      </w:r>
    </w:p>
    <w:p>
      <w:pPr>
        <w:spacing w:after="120"/>
        <w:jc w:val="both"/>
      </w:pPr>
      <w:r>
        <w:rPr>
          <w:rFonts w:ascii="Arial" w:cs="Arial" w:eastAsia="Arial" w:hAnsi="Arial"/>
          <w:sz w:val="24"/>
          <w:szCs w:val="24"/>
        </w:rPr>
        <w:t xml:space="preserve">Вместе с тем следует отметить, что согласно </w:t>
      </w:r>
      <w:r>
        <w:rPr>
          <w:rFonts w:ascii="Arial" w:cs="Arial" w:eastAsia="Arial" w:hAnsi="Arial"/>
          <w:sz w:val="24"/>
          <w:szCs w:val="24"/>
        </w:rPr>
        <w:t xml:space="preserve">статье 1</w:t>
      </w:r>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является коллегиальным органом, которое возглавляет единую систему органов исполнительной власти в Кыргызской Республике и руководит их деятельностью, а также самостоятельно устанавливает компетенцию органов исполнительной ветви власти, отношения между ними и т.п.</w:t>
      </w:r>
    </w:p>
    <w:p>
      <w:pPr>
        <w:spacing w:after="120"/>
        <w:jc w:val="both"/>
      </w:pPr>
      <w:r>
        <w:rPr>
          <w:rFonts w:ascii="Arial" w:cs="Arial" w:eastAsia="Arial" w:hAnsi="Arial"/>
          <w:sz w:val="24"/>
          <w:szCs w:val="24"/>
        </w:rPr>
        <w:t xml:space="preserve">Ввиду чего,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11</w:t>
      </w:r>
      <w:r>
        <w:rPr>
          <w:rFonts w:ascii="Arial" w:cs="Arial" w:eastAsia="Arial" w:hAnsi="Arial"/>
          <w:sz w:val="24"/>
          <w:szCs w:val="24"/>
        </w:rPr>
        <w:t xml:space="preserve"> вышеуказанного конституционного Закона Кыргызской Республики Правительство, исходя из своих полномочий, распределяет функции по их реализации между министерствами, государственными комитетами, административными ведомствами и местными государственными администрациями путем утверждения положений.</w:t>
      </w:r>
    </w:p>
    <w:p>
      <w:pPr>
        <w:spacing w:after="120"/>
        <w:jc w:val="both"/>
      </w:pPr>
      <w:r>
        <w:rPr>
          <w:rFonts w:ascii="Arial" w:cs="Arial" w:eastAsia="Arial" w:hAnsi="Arial"/>
          <w:sz w:val="24"/>
          <w:szCs w:val="24"/>
        </w:rPr>
        <w:t xml:space="preserve">Из чего следует вывод о том, что закрепление на законодательном уровне каких-либо норм, касающихся деятельности, полномочий и функций органов исполнительной власти, подчиненных Правительству, противоречит вышеназванным статьям </w:t>
      </w:r>
      <w:r>
        <w:rPr>
          <w:rFonts w:ascii="Arial" w:cs="Arial" w:eastAsia="Arial" w:hAnsi="Arial"/>
          <w:sz w:val="24"/>
          <w:szCs w:val="24"/>
        </w:rPr>
        <w:t xml:space="preserve">конституционного Закона</w:t>
      </w:r>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Таким образом, предлагаем полномочия государственного органа исполнительной власти отразить в профильном положении о данном государственном органе.</w:t>
      </w:r>
    </w:p>
    <w:p>
      <w:pPr>
        <w:spacing w:after="120"/>
        <w:jc w:val="both"/>
      </w:pPr>
      <w:r>
        <w:rPr>
          <w:rFonts w:ascii="Arial" w:cs="Arial" w:eastAsia="Arial" w:hAnsi="Arial"/>
          <w:sz w:val="24"/>
          <w:szCs w:val="24"/>
        </w:rPr>
        <w:t xml:space="preserve">6. Пунктом 5 части 2 статьи 1 законопроекта предлагается установить, что в случае если уровень результатов общереспубликанского квалификационного тестирования более половины выпускников образовательной программы высшего профессионального образования оказывается ниже порогового, лицензия на данную образовательную программу отзывается.</w:t>
      </w:r>
    </w:p>
    <w:p>
      <w:pPr>
        <w:spacing w:after="120"/>
        <w:jc w:val="both"/>
      </w:pPr>
      <w:r>
        <w:rPr>
          <w:rFonts w:ascii="Arial" w:cs="Arial" w:eastAsia="Arial" w:hAnsi="Arial"/>
          <w:sz w:val="24"/>
          <w:szCs w:val="24"/>
        </w:rPr>
        <w:t xml:space="preserve">Однако необходимо отметить, что согласно пункту 56 части 1 </w:t>
      </w:r>
      <w:r>
        <w:rPr>
          <w:rFonts w:ascii="Arial" w:cs="Arial" w:eastAsia="Arial" w:hAnsi="Arial"/>
          <w:sz w:val="24"/>
          <w:szCs w:val="24"/>
        </w:rPr>
        <w:t xml:space="preserve">статьи 15</w:t>
      </w:r>
      <w:r>
        <w:rPr>
          <w:rFonts w:ascii="Arial" w:cs="Arial" w:eastAsia="Arial" w:hAnsi="Arial"/>
          <w:sz w:val="24"/>
          <w:szCs w:val="24"/>
        </w:rPr>
        <w:t xml:space="preserve"> Закона Кыргызской Республики "О лицензионно-разрешительной системе в Кыргызской Республике", образовательная деятельность (кроме государственных и муниципальных учреждений образования, реализующих программы дошкольного, начального общего, основного общего и среднего общего образования) подлежит лицензированию.</w:t>
      </w:r>
    </w:p>
    <w:p>
      <w:pPr>
        <w:spacing w:after="120"/>
        <w:jc w:val="both"/>
      </w:pPr>
      <w:r>
        <w:rPr>
          <w:rFonts w:ascii="Arial" w:cs="Arial" w:eastAsia="Arial" w:hAnsi="Arial"/>
          <w:sz w:val="24"/>
          <w:szCs w:val="24"/>
        </w:rPr>
        <w:t xml:space="preserve">Между тем, в </w:t>
      </w:r>
      <w:r>
        <w:rPr>
          <w:rFonts w:ascii="Arial" w:cs="Arial" w:eastAsia="Arial" w:hAnsi="Arial"/>
          <w:sz w:val="24"/>
          <w:szCs w:val="24"/>
        </w:rPr>
        <w:t xml:space="preserve">статье 31</w:t>
      </w:r>
      <w:r>
        <w:rPr>
          <w:rFonts w:ascii="Arial" w:cs="Arial" w:eastAsia="Arial" w:hAnsi="Arial"/>
          <w:sz w:val="24"/>
          <w:szCs w:val="24"/>
        </w:rPr>
        <w:t xml:space="preserve"> обозначенного Закона определен исчерпывающий перечень оснований для прекращения действия лицензии и (или) разрешения, в число которых предлагаемый проектом случай не входит.</w:t>
      </w:r>
    </w:p>
    <w:p>
      <w:pPr>
        <w:spacing w:after="120"/>
        <w:jc w:val="both"/>
      </w:pPr>
      <w:r>
        <w:rPr>
          <w:rFonts w:ascii="Arial" w:cs="Arial" w:eastAsia="Arial" w:hAnsi="Arial"/>
          <w:sz w:val="24"/>
          <w:szCs w:val="24"/>
        </w:rPr>
        <w:t xml:space="preserve">Кроме того, согласно </w:t>
      </w:r>
      <w:r>
        <w:rPr>
          <w:rFonts w:ascii="Arial" w:cs="Arial" w:eastAsia="Arial" w:hAnsi="Arial"/>
          <w:sz w:val="24"/>
          <w:szCs w:val="24"/>
        </w:rPr>
        <w:t xml:space="preserve">статье 32</w:t>
      </w:r>
      <w:r>
        <w:rPr>
          <w:rFonts w:ascii="Arial" w:cs="Arial" w:eastAsia="Arial" w:hAnsi="Arial"/>
          <w:sz w:val="24"/>
          <w:szCs w:val="24"/>
        </w:rPr>
        <w:t xml:space="preserve"> вышеуказанного Закона, в случае неустранения причин, по которым лицензиар приостановил действие лицензии, лицензия и (или) разрешение аннулируются решением суда на основании рассмотрения заявления лицензиара.</w:t>
      </w:r>
    </w:p>
    <w:p>
      <w:pPr>
        <w:spacing w:after="120"/>
        <w:jc w:val="both"/>
      </w:pPr>
      <w:r>
        <w:rPr>
          <w:rFonts w:ascii="Arial" w:cs="Arial" w:eastAsia="Arial" w:hAnsi="Arial"/>
          <w:sz w:val="24"/>
          <w:szCs w:val="24"/>
        </w:rPr>
        <w:t xml:space="preserve">Учитывая недостаточную аргументацию обоснования необходимости проведения независимого тестирования выпускников вузов, следует отметить, что в настоящее время, уже существует механизм обеспечения качества высшего профессионального образования, востребованности выпускников вузов, усиления взаимосвязи вузов с работодателями в виде института независимой аккредитации образовательных организаций.</w:t>
      </w:r>
    </w:p>
    <w:p>
      <w:pPr>
        <w:spacing w:after="120"/>
        <w:jc w:val="both"/>
      </w:pPr>
      <w:r>
        <w:rPr>
          <w:rFonts w:ascii="Arial" w:cs="Arial" w:eastAsia="Arial" w:hAnsi="Arial"/>
          <w:sz w:val="24"/>
          <w:szCs w:val="24"/>
        </w:rPr>
        <w:t xml:space="preserve">Также,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актов по независимой аккредитации в системе образования Кыргызской Республики" от 29 сентября 2015 года № 670 утверждены </w:t>
      </w:r>
      <w:r>
        <w:rPr>
          <w:rFonts w:ascii="Arial" w:cs="Arial" w:eastAsia="Arial" w:hAnsi="Arial"/>
          <w:sz w:val="24"/>
          <w:szCs w:val="24"/>
        </w:rPr>
        <w:t xml:space="preserve">Минимальные требования</w:t>
      </w:r>
      <w:r>
        <w:rPr>
          <w:rFonts w:ascii="Arial" w:cs="Arial" w:eastAsia="Arial" w:hAnsi="Arial"/>
          <w:sz w:val="24"/>
          <w:szCs w:val="24"/>
        </w:rPr>
        <w:t xml:space="preserve">, предъявляемые к аккредитуемым образовательным организациям начального, среднего и высшего профессионального образования Кыргызской Республики, которыми установлены критерии к политике обеспечения качества образования в образовательных организациях. Если ранее при государственной аттестации вузов применяли в основном количественные индикаторы оценки качества предоставляемых услуг (например, остепененность профессорско-преподавательского состава, наличие материально-технической базы и т.д.), то критерии независимой аккредитации основаны на качественных индикаторах.</w:t>
      </w:r>
    </w:p>
    <w:p>
      <w:pPr>
        <w:spacing w:after="120"/>
        <w:jc w:val="both"/>
      </w:pPr>
      <w:r>
        <w:rPr>
          <w:rFonts w:ascii="Arial" w:cs="Arial" w:eastAsia="Arial" w:hAnsi="Arial"/>
          <w:sz w:val="24"/>
          <w:szCs w:val="24"/>
        </w:rPr>
        <w:t xml:space="preserve">Критериями предусмотрена проверка наличия в вузе механизма обеспечения качества знаний не только выпускников, но и мониторинг проведения промежуточной аттестации. Данные процедуры предназначены для достижения обеспечения качества образования на каждом этапе реализации образовательных программ, которые влияют на общий результат достижения цели обучения.</w:t>
      </w:r>
    </w:p>
    <w:p>
      <w:pPr>
        <w:spacing w:after="120"/>
        <w:jc w:val="both"/>
      </w:pPr>
      <w:r>
        <w:rPr>
          <w:rFonts w:ascii="Arial" w:cs="Arial" w:eastAsia="Arial" w:hAnsi="Arial"/>
          <w:sz w:val="24"/>
          <w:szCs w:val="24"/>
        </w:rPr>
        <w:t xml:space="preserve">На основании вышеизложенного Правительство считает принятие проекта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образовании" в предлагаемой редакции преждевременным.</w:t>
      </w:r>
    </w:p>
    <w:p>
      <w:pPr>
        <w:spacing w:after="120"/>
        <w:jc w:val="both"/>
      </w:pPr>
      <w:r>
        <w:rPr>
          <w:rFonts w:ascii="Arial" w:cs="Arial" w:eastAsia="Arial" w:hAnsi="Arial"/>
          <w:sz w:val="24"/>
          <w:szCs w:val="24"/>
        </w:rPr>
        <w:t xml:space="preserve">При этом, принимая во внимание важность вносимых изменений, включающих общереспубликанское квалификационное тестирование, следует отметить, что предлагаемые изменения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требуют определенного времени и широкого общественного обсуждения с участием экспертов и гражданского сообщества.</w:t>
      </w:r>
    </w:p>
    <w:p>
      <w:pPr>
        <w:spacing w:after="120"/>
        <w:jc w:val="both"/>
      </w:pPr>
      <w:r>
        <w:rPr>
          <w:rFonts w:ascii="Arial" w:cs="Arial" w:eastAsia="Arial" w:hAnsi="Arial"/>
          <w:sz w:val="24"/>
          <w:szCs w:val="24"/>
        </w:rPr>
        <w:t xml:space="preserve">В этой связи предлагается осуществлять внедрение указанных в законопроекте норм поэтапно и с учетом общественного мнения.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t6kebhmnvxi4gettbd9e">
      <w:r>
        <w:rPr>
          <w:rFonts w:ascii="Arial" w:cs="Arial" w:eastAsia="Arial" w:hAnsi="Arial"/>
          <w:color w:val="132D3F"/>
          <w:sz w:val="16"/>
          <w:szCs w:val="16"/>
          <w:u w:val="single"/>
        </w:rPr>
        <w:t xml:space="preserve">dalil.kg/document/100226</w:t>
      </w:r>
    </w:hyperlink>
  </w:p>
  <w:p>
    <w:pPr>
      <w:spacing w:after="0" w:before="40"/>
      <w:jc w:val="center"/>
    </w:pPr>
    <w:hyperlink w:history="1" r:id="rIdhyonwdqixygvsmtbtywo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fda-jqzrxv5ifnw9wj_w" Type="http://schemas.openxmlformats.org/officeDocument/2006/relationships/hyperlink" Target="https://dalil.kg/document/203685" TargetMode="External"/><Relationship Id="rIdpo31787ebg-essvb9wy4o" Type="http://schemas.openxmlformats.org/officeDocument/2006/relationships/hyperlink" Target="https://dalil.kg/document/100226#&#1088;1" TargetMode="External"/><Relationship Id="rId3lp3b_zj5m8mogm6vkvss" Type="http://schemas.openxmlformats.org/officeDocument/2006/relationships/hyperlink" Target="https://dalil.kg/document/121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t6kebhmnvxi4gettbd9e" Type="http://schemas.openxmlformats.org/officeDocument/2006/relationships/hyperlink" Target="https://dalil.kg/document/100226" TargetMode="External"/><Relationship Id="rIdhyonwdqixygvsmtbtywo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2026-10-03T13:55:36.292Z</dcterms:created>
  <dcterms:modified xsi:type="dcterms:W3CDTF">2026-10-03T13:55:36.292Z</dcterms:modified>
</cp:coreProperties>
</file>

<file path=docProps/custom.xml><?xml version="1.0" encoding="utf-8"?>
<Properties xmlns="http://schemas.openxmlformats.org/officeDocument/2006/custom-properties" xmlns:vt="http://schemas.openxmlformats.org/officeDocument/2006/docPropsVTypes"/>
</file>