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УТРАТИЛИ СИЛУ
 в соответствии с </w:t>
      </w:r>
      <w:hyperlink w:history="1" r:id="rId0mqugpsnyao5oalybkau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августа 2018 года № 397</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xtyfin8rh95dnpcigcvx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июля 2017 года № 423</w:t>
      </w:r>
    </w:p>
    <w:p>
      <w:pPr>
        <w:spacing w:after="400" w:before="400"/>
        <w:jc w:val="center"/>
      </w:pPr>
      <w:r>
        <w:rPr>
          <w:rFonts w:ascii="Arial" w:cs="Arial" w:eastAsia="Arial" w:hAnsi="Arial"/>
          <w:b/>
          <w:bCs/>
          <w:sz w:val="32"/>
          <w:szCs w:val="32"/>
        </w:rPr>
        <w:t xml:space="preserve">ОСНОВНЫЕ НАПРАВЛЕНИЯ
 фискальной политики Кыргызской Республики на 2018-2020 годы</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Основные направления фискальной политики Кыргызской Республики на 2018-2020 годы (далее - ОНФП на 2018-2020 годы) разработаны в соответствии со статьей 82 Бюджетного </w:t>
      </w:r>
      <w:hyperlink w:history="1" r:id="rIdbdjy9s4uwqfzgyubjmyg5">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 учетом итогов реализации бюджетной политики за 2015-2016 годы и ожидаемой оценки на 2017 год.</w:t>
      </w:r>
    </w:p>
    <w:p>
      <w:pPr>
        <w:spacing w:after="60"/>
        <w:ind w:firstLine="567"/>
        <w:jc w:val="both"/>
      </w:pPr>
      <w:r>
        <w:rPr>
          <w:rFonts w:ascii="Arial" w:cs="Arial" w:eastAsia="Arial" w:hAnsi="Arial"/>
          <w:sz w:val="24"/>
          <w:szCs w:val="24"/>
        </w:rPr>
        <w:t xml:space="preserve">При подготовке ОНФП на 2018-2020 годы были учтены положения Бюджетного </w:t>
      </w:r>
      <w:hyperlink w:history="1" r:id="rIdpffp9o9gwqcpginhrldb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6r8fru8relpv6y9e7cdsa">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Правительства Кыргызской Республики "Доверие и единство", отраслевых (секторальных) стратегий и программ развития, среднесрочного прогноза социально-экономического развития Кыргызской Республики.</w:t>
      </w:r>
    </w:p>
    <w:p>
      <w:pPr>
        <w:spacing w:after="60"/>
        <w:ind w:firstLine="567"/>
        <w:jc w:val="both"/>
      </w:pPr>
      <w:r>
        <w:rPr>
          <w:rFonts w:ascii="Arial" w:cs="Arial" w:eastAsia="Arial" w:hAnsi="Arial"/>
          <w:sz w:val="24"/>
          <w:szCs w:val="24"/>
        </w:rPr>
        <w:t xml:space="preserve">Целью ОНФП на 2018-2020 годы является определение параметров и условий, используемых при составлении проекта бюджета на очередной бюджетный год и прогнозируемый период, подходов к его формированию, основных характеристик и прогнозируемых параметров государственного бюджета и других бюджетов бюджетной системы Кыргызской Республики.</w:t>
      </w:r>
    </w:p>
    <w:p>
      <w:pPr>
        <w:spacing w:after="60"/>
        <w:ind w:firstLine="567"/>
        <w:jc w:val="both"/>
      </w:pPr>
      <w:r>
        <w:rPr>
          <w:rFonts w:ascii="Arial" w:cs="Arial" w:eastAsia="Arial" w:hAnsi="Arial"/>
          <w:sz w:val="24"/>
          <w:szCs w:val="24"/>
        </w:rPr>
        <w:t xml:space="preserve">Одной из основных функций государственного регулирования экономики на основе механизма перераспределения является производство общественных благ, создаваемых во всех сферах, в том числе в сферах образования, культуры, здравоохранения.</w:t>
      </w:r>
    </w:p>
    <w:p>
      <w:pPr>
        <w:spacing w:after="60"/>
        <w:ind w:firstLine="567"/>
        <w:jc w:val="both"/>
      </w:pPr>
      <w:r>
        <w:rPr>
          <w:rFonts w:ascii="Arial" w:cs="Arial" w:eastAsia="Arial" w:hAnsi="Arial"/>
          <w:sz w:val="24"/>
          <w:szCs w:val="24"/>
        </w:rPr>
        <w:t xml:space="preserve">Государственный бюджет является одним из основных инструментов регулирования социально-экономических процессов страны с помощью управления государственными расходами, налогами для достижения роста реального объема производства и занятости, контроля над инфляцией и ускорения экономического роста. Соответственно бюджетные процессы необходимо рассматривать в среднесрочном периоде. ОНФП на 2018-2020 годы является аналитическим документом и инструментом управления государственными финансами, определяющим основы реализации фискальной политики на предстоящий среднесрочный период и позволяющий Правительству Кыргызской Республики прогнозировать объемы ресурсов и соответствующих расходов в целом и по каждой отрасли.</w:t>
      </w:r>
    </w:p>
    <w:p>
      <w:pPr>
        <w:spacing w:after="60"/>
        <w:ind w:firstLine="567"/>
        <w:jc w:val="both"/>
      </w:pPr>
      <w:r>
        <w:rPr>
          <w:rFonts w:ascii="Arial" w:cs="Arial" w:eastAsia="Arial" w:hAnsi="Arial"/>
          <w:sz w:val="24"/>
          <w:szCs w:val="24"/>
        </w:rPr>
        <w:t xml:space="preserve">Главными целями ОНФП на 2018-2020 годы являются обеспечение стратегической направленности и предсказуемости бюджетного процесса путем распределения бюджетных ассигнований по приоритетным направлениям расходов государственного бюджета. ОНФП на 2018-2020 годы важны как показатель постоянства основной деятельности Правительства Кыргызской Республики, так как отражают направления главных государственных стратегических программ на три ближайших года и являются средством определения основы для государственной фискальной политики, а также средством повышения прозрачности бюджета.</w:t>
      </w:r>
    </w:p>
    <w:p>
      <w:pPr>
        <w:spacing w:after="60"/>
        <w:ind w:firstLine="567"/>
        <w:jc w:val="both"/>
      </w:pPr>
      <w:r>
        <w:rPr>
          <w:rFonts w:ascii="Arial" w:cs="Arial" w:eastAsia="Arial" w:hAnsi="Arial"/>
          <w:sz w:val="24"/>
          <w:szCs w:val="24"/>
        </w:rPr>
        <w:t xml:space="preserve">ОНФП на 2018-2020 годы состоят из двух частей:</w:t>
      </w:r>
    </w:p>
    <w:p>
      <w:pPr>
        <w:spacing w:after="60"/>
        <w:ind w:firstLine="567"/>
        <w:jc w:val="both"/>
      </w:pPr>
      <w:r>
        <w:rPr>
          <w:rFonts w:ascii="Arial" w:cs="Arial" w:eastAsia="Arial" w:hAnsi="Arial"/>
          <w:sz w:val="24"/>
          <w:szCs w:val="24"/>
        </w:rPr>
        <w:t xml:space="preserve">Первая часть - "Среднесрочная стратегия макроэкономической и бюджетно-налоговой политики" включает:</w:t>
      </w:r>
    </w:p>
    <w:p>
      <w:pPr>
        <w:spacing w:after="60"/>
        <w:ind w:firstLine="567"/>
        <w:jc w:val="both"/>
      </w:pPr>
      <w:r>
        <w:rPr>
          <w:rFonts w:ascii="Arial" w:cs="Arial" w:eastAsia="Arial" w:hAnsi="Arial"/>
          <w:sz w:val="24"/>
          <w:szCs w:val="24"/>
        </w:rPr>
        <w:t xml:space="preserve">1 блок - макроэкономика как основа для определения доходов и расходов;</w:t>
      </w:r>
    </w:p>
    <w:p>
      <w:pPr>
        <w:spacing w:after="60"/>
        <w:ind w:firstLine="567"/>
        <w:jc w:val="both"/>
      </w:pPr>
      <w:r>
        <w:rPr>
          <w:rFonts w:ascii="Arial" w:cs="Arial" w:eastAsia="Arial" w:hAnsi="Arial"/>
          <w:sz w:val="24"/>
          <w:szCs w:val="24"/>
        </w:rPr>
        <w:t xml:space="preserve">2 блок - среднесрочная основа расходов как основа фискальной политики государства;</w:t>
      </w:r>
    </w:p>
    <w:p>
      <w:pPr>
        <w:spacing w:after="60"/>
        <w:ind w:firstLine="567"/>
        <w:jc w:val="both"/>
      </w:pPr>
      <w:r>
        <w:rPr>
          <w:rFonts w:ascii="Arial" w:cs="Arial" w:eastAsia="Arial" w:hAnsi="Arial"/>
          <w:sz w:val="24"/>
          <w:szCs w:val="24"/>
        </w:rPr>
        <w:t xml:space="preserve">3 блок - стратегия управления государственным долгом - политика заимствования и управление устойчивостью бюджета и платежного баланса.</w:t>
      </w:r>
    </w:p>
    <w:p>
      <w:pPr>
        <w:spacing w:after="60"/>
        <w:ind w:firstLine="567"/>
        <w:jc w:val="both"/>
      </w:pPr>
      <w:r>
        <w:rPr>
          <w:rFonts w:ascii="Arial" w:cs="Arial" w:eastAsia="Arial" w:hAnsi="Arial"/>
          <w:sz w:val="24"/>
          <w:szCs w:val="24"/>
        </w:rPr>
        <w:t xml:space="preserve">Вторая часть - "Приложения" включает:</w:t>
      </w:r>
    </w:p>
    <w:p>
      <w:pPr>
        <w:spacing w:after="60"/>
        <w:ind w:firstLine="567"/>
        <w:jc w:val="both"/>
      </w:pPr>
      <w:r>
        <w:rPr>
          <w:rFonts w:ascii="Arial" w:cs="Arial" w:eastAsia="Arial" w:hAnsi="Arial"/>
          <w:sz w:val="24"/>
          <w:szCs w:val="24"/>
        </w:rPr>
        <w:t xml:space="preserve">технические записки по вопросам отраслевых расходов;</w:t>
      </w:r>
    </w:p>
    <w:p>
      <w:pPr>
        <w:spacing w:after="60"/>
        <w:ind w:firstLine="567"/>
        <w:jc w:val="both"/>
      </w:pPr>
      <w:r>
        <w:rPr>
          <w:rFonts w:ascii="Arial" w:cs="Arial" w:eastAsia="Arial" w:hAnsi="Arial"/>
          <w:sz w:val="24"/>
          <w:szCs w:val="24"/>
        </w:rPr>
        <w:t xml:space="preserve">таблицы ОНФП на 2018-2020 годы.</w:t>
      </w:r>
    </w:p>
    <w:p>
      <w:pPr>
        <w:spacing w:after="60"/>
        <w:ind w:firstLine="567"/>
        <w:jc w:val="both"/>
      </w:pPr>
      <w:r>
        <w:rPr>
          <w:rFonts w:ascii="Arial" w:cs="Arial" w:eastAsia="Arial" w:hAnsi="Arial"/>
          <w:sz w:val="24"/>
          <w:szCs w:val="24"/>
        </w:rPr>
        <w:t xml:space="preserve">Ухудшение экономической ситуации в странах-членах ЕАЭС, а также в Китайской Народной Республике стало основным сдерживающим фактором экономического роста с начала 2016 года. В течение 2016 года мировые цены на сырьевые товары восстанавливались медленными темпами и после обвального снижения восстанавливались частично, что негативно отразилось на состоянии торговых балансов и бюджетов государств-членов ЕАЭС.</w:t>
      </w:r>
    </w:p>
    <w:p>
      <w:pPr>
        <w:spacing w:after="60"/>
        <w:ind w:firstLine="567"/>
        <w:jc w:val="both"/>
      </w:pPr>
      <w:r>
        <w:rPr>
          <w:rFonts w:ascii="Arial" w:cs="Arial" w:eastAsia="Arial" w:hAnsi="Arial"/>
          <w:sz w:val="24"/>
          <w:szCs w:val="24"/>
        </w:rPr>
        <w:t xml:space="preserve">В условиях адаптации к сложившимся внешним условиям на фоне складывающейся ситуации в мировой экономике страны-члены ЕАЭС проводили экономическую политику, связанную со смягчением воздействия на национальные экономики неблагоприятной макроэкономической устойчивости. В результате удалось стабилизировать макроэкономическую ситуацию, сократить волатильность курсов национальных валют и рост уровня инфляции.</w:t>
      </w:r>
    </w:p>
    <w:p>
      <w:pPr>
        <w:spacing w:after="60"/>
        <w:ind w:firstLine="567"/>
        <w:jc w:val="both"/>
      </w:pPr>
      <w:r>
        <w:rPr>
          <w:rFonts w:ascii="Arial" w:cs="Arial" w:eastAsia="Arial" w:hAnsi="Arial"/>
          <w:sz w:val="24"/>
          <w:szCs w:val="24"/>
        </w:rPr>
        <w:t xml:space="preserve">В течение 2016 года курс российского рубля демонстрировал устойчивую тенденцию роста, укрепившись на конец года по отношению к доллару США на 16,8%. По итогам 2016 года также укрепились кыргызский сом и казахский тенге на 8,8% и 1,8% соответственно. Значительно снизились темпы роста инфляции по сравнению с 2015 годом в Российской Федерации (прирост на 7,1% против 15,5% в 2015 году), небольшое замедление инфляции наблюдалось в Республике Беларусь (на 11,8% против 13,5%).</w:t>
      </w:r>
    </w:p>
    <w:p>
      <w:pPr>
        <w:spacing w:after="60"/>
        <w:ind w:firstLine="567"/>
        <w:jc w:val="both"/>
      </w:pPr>
      <w:r>
        <w:rPr>
          <w:rFonts w:ascii="Arial" w:cs="Arial" w:eastAsia="Arial" w:hAnsi="Arial"/>
          <w:sz w:val="24"/>
          <w:szCs w:val="24"/>
        </w:rPr>
        <w:t xml:space="preserve">В 2015-2016 годах среднегодовой рост реального внутреннего валового продукта (далее - ВВП) (3,85%) обеспечивался производством сферы услуг (среднегодовой темп реального роста составил 3,3%), промышленности (0,3%), строительства (11,9%), сельского хозяйства (4,6%), исходя из чего и с учетом влияний внешних факторов в среднесрочном периоде в 2018-2020 годах среднегодовой рост реального ВВП прогнозируется на уровне (4,5%) за счет роста во всех секторах экономики.</w:t>
      </w:r>
    </w:p>
    <w:p>
      <w:pPr>
        <w:spacing w:after="60"/>
        <w:ind w:firstLine="567"/>
        <w:jc w:val="both"/>
      </w:pPr>
      <w:r>
        <w:rPr>
          <w:rFonts w:ascii="Arial" w:cs="Arial" w:eastAsia="Arial" w:hAnsi="Arial"/>
          <w:sz w:val="24"/>
          <w:szCs w:val="24"/>
        </w:rPr>
        <w:t xml:space="preserve">ОНФП на 2018-2020 годы направлены на укрепление стабилизации и устойчивого роста экономики страны. Важнейшими предпосылками успешной реализации макроэкономической политики являются: социально-политическая стабильность в стране, полная интеграция Кыргызской Республики в ЕАЭС, скоординированная денежно-кредитная и налогово-бюджетная политика, укрепление банковской системы и углубление финансовых рынков, повышение привлекательности бизнес-среды через сокращение государственного вмешательства в экономику, умеренный рост внутренних потребительских цен, реализация крупных инвестиционных проектов.</w:t>
      </w:r>
    </w:p>
    <w:p>
      <w:pPr>
        <w:spacing w:after="60"/>
        <w:ind w:firstLine="567"/>
        <w:jc w:val="both"/>
      </w:pPr>
      <w:r>
        <w:rPr>
          <w:rFonts w:ascii="Arial" w:cs="Arial" w:eastAsia="Arial" w:hAnsi="Arial"/>
          <w:sz w:val="24"/>
          <w:szCs w:val="24"/>
        </w:rPr>
        <w:t xml:space="preserve">В среднесрочном периоде предполагается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4,5% в 2020 году (в % к декабрю предыдущего года).</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2018-2020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стимулирование экономической активности трудоспособного населения и оказание содействия в выходе из трудной жизненной ситуации. 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w:t>
      </w:r>
    </w:p>
    <w:p>
      <w:pPr>
        <w:spacing w:after="60"/>
        <w:ind w:firstLine="567"/>
        <w:jc w:val="both"/>
      </w:pPr>
      <w:r>
        <w:rPr>
          <w:rFonts w:ascii="Arial" w:cs="Arial" w:eastAsia="Arial" w:hAnsi="Arial"/>
          <w:sz w:val="24"/>
          <w:szCs w:val="24"/>
        </w:rPr>
        <w:t xml:space="preserve">Бюджетно-налоговая политика в среднесрочном периоде 2018-2020 годов предполагает последовательное продолжение политики предыдущего периода, основными направлениями которой являются: изменение реального объема национального производства и занятости; контроль над инфляцией; ускорение экономического роста посредством создания благоприятных условий; повышение эффективности государственных расходов. Налоговая политика остается политикой стимулирования экономического роста и повышения инвестиционной привлекательности путем соблюдения принципа справедливости и предсказуемости проводимой налоговой политики, выравнивания налоговой нагрузки, улучшения и усиления администрирования налогов. В среднесрочной перспективе планируется сохранение тенденции роста поступлений в бюджет. Доходы бюджета вырастут с 148,2 млрд. сомов в 2018 году до 153,3 млрд. сомов в 2020 году. При этом их доля в ВВП в 2020 году (23,6% к ВВП) по отношению к 2018 году (27,5% к ВВП) снизится на 3,9 процентных пункта ВВП, что будет обусловлено снижением уровня налоговых доходов на 1,8% к ВВП, неналоговых доходов - на 0,8% к ВВП и полученных официальных трансфертов (программные гранты и гранты государственных инвестиций) - на 1,4% к ВВП.</w:t>
      </w:r>
    </w:p>
    <w:p>
      <w:pPr>
        <w:spacing w:after="60"/>
        <w:ind w:firstLine="567"/>
        <w:jc w:val="both"/>
      </w:pPr>
      <w:r>
        <w:rPr>
          <w:rFonts w:ascii="Arial" w:cs="Arial" w:eastAsia="Arial" w:hAnsi="Arial"/>
          <w:sz w:val="24"/>
          <w:szCs w:val="24"/>
        </w:rPr>
        <w:t xml:space="preserve">Повышение бюджетных доходов в среднесрочной перспективе произойдет главным образом за счет роста налоговых поступлений. Так, номинальный объем налоговых доходов увеличится с 113,0 млрд. сомов в 2018 году до 124,8 млрд. сомов в 2020 году. По отношению к ВВП налоговые доходы в среднесрочном периоде снизятся с 21,0% к ВВП в 2018 году до 19,2% к ВВП в 2020 году. Удельный вес их в общей сумме доходов бюджета увеличится с 76,2% в 2018 году до 81,4% в 2020 году.</w:t>
      </w:r>
    </w:p>
    <w:p>
      <w:pPr>
        <w:spacing w:after="60"/>
        <w:ind w:firstLine="567"/>
        <w:jc w:val="both"/>
      </w:pPr>
      <w:r>
        <w:rPr>
          <w:rFonts w:ascii="Arial" w:cs="Arial" w:eastAsia="Arial" w:hAnsi="Arial"/>
          <w:sz w:val="24"/>
          <w:szCs w:val="24"/>
        </w:rPr>
        <w:t xml:space="preserve">Государственные расходы призваны удовлетворять наиболее важные потребности общества в области развития экономики и социальной сферы, осуществления государственного управления и укрепления обороноспособности страны.</w:t>
      </w:r>
    </w:p>
    <w:p>
      <w:pPr>
        <w:spacing w:after="60"/>
        <w:ind w:firstLine="567"/>
        <w:jc w:val="both"/>
      </w:pPr>
      <w:r>
        <w:rPr>
          <w:rFonts w:ascii="Arial" w:cs="Arial" w:eastAsia="Arial" w:hAnsi="Arial"/>
          <w:sz w:val="24"/>
          <w:szCs w:val="24"/>
        </w:rPr>
        <w:t xml:space="preserve">По целям расходы государства могут быть разделены на расходы:</w:t>
      </w:r>
    </w:p>
    <w:p>
      <w:pPr>
        <w:spacing w:after="60"/>
        <w:ind w:firstLine="567"/>
        <w:jc w:val="both"/>
      </w:pPr>
      <w:r>
        <w:rPr>
          <w:rFonts w:ascii="Arial" w:cs="Arial" w:eastAsia="Arial" w:hAnsi="Arial"/>
          <w:sz w:val="24"/>
          <w:szCs w:val="24"/>
        </w:rPr>
        <w:t xml:space="preserve">- на общегосударственные цели:</w:t>
      </w:r>
    </w:p>
    <w:p>
      <w:pPr>
        <w:spacing w:after="60"/>
        <w:ind w:firstLine="567"/>
        <w:jc w:val="both"/>
      </w:pPr>
      <w:r>
        <w:rPr>
          <w:rFonts w:ascii="Arial" w:cs="Arial" w:eastAsia="Arial" w:hAnsi="Arial"/>
          <w:sz w:val="24"/>
          <w:szCs w:val="24"/>
        </w:rPr>
        <w:t xml:space="preserve">1) расходы на обеспечение национальной обороны и безопасности;</w:t>
      </w:r>
    </w:p>
    <w:p>
      <w:pPr>
        <w:spacing w:after="60"/>
        <w:ind w:firstLine="567"/>
        <w:jc w:val="both"/>
      </w:pPr>
      <w:r>
        <w:rPr>
          <w:rFonts w:ascii="Arial" w:cs="Arial" w:eastAsia="Arial" w:hAnsi="Arial"/>
          <w:sz w:val="24"/>
          <w:szCs w:val="24"/>
        </w:rPr>
        <w:t xml:space="preserve">2) расходы на содержание государственного аппарата;</w:t>
      </w:r>
    </w:p>
    <w:p>
      <w:pPr>
        <w:spacing w:after="60"/>
        <w:ind w:firstLine="567"/>
        <w:jc w:val="both"/>
      </w:pPr>
      <w:r>
        <w:rPr>
          <w:rFonts w:ascii="Arial" w:cs="Arial" w:eastAsia="Arial" w:hAnsi="Arial"/>
          <w:sz w:val="24"/>
          <w:szCs w:val="24"/>
        </w:rPr>
        <w:t xml:space="preserve">- на экономические цели:</w:t>
      </w:r>
    </w:p>
    <w:p>
      <w:pPr>
        <w:spacing w:after="60"/>
        <w:ind w:firstLine="567"/>
        <w:jc w:val="both"/>
      </w:pPr>
      <w:r>
        <w:rPr>
          <w:rFonts w:ascii="Arial" w:cs="Arial" w:eastAsia="Arial" w:hAnsi="Arial"/>
          <w:sz w:val="24"/>
          <w:szCs w:val="24"/>
        </w:rPr>
        <w:t xml:space="preserve">1) расходы на содержание и обеспечение функционирования государственного сектора экономики;</w:t>
      </w:r>
    </w:p>
    <w:p>
      <w:pPr>
        <w:spacing w:after="60"/>
        <w:ind w:firstLine="567"/>
        <w:jc w:val="both"/>
      </w:pPr>
      <w:r>
        <w:rPr>
          <w:rFonts w:ascii="Arial" w:cs="Arial" w:eastAsia="Arial" w:hAnsi="Arial"/>
          <w:sz w:val="24"/>
          <w:szCs w:val="24"/>
        </w:rPr>
        <w:t xml:space="preserve">2) расходы на помощь частному сектору экономики (субсидирование);</w:t>
      </w:r>
    </w:p>
    <w:p>
      <w:pPr>
        <w:spacing w:after="60"/>
        <w:ind w:firstLine="567"/>
        <w:jc w:val="both"/>
      </w:pPr>
      <w:r>
        <w:rPr>
          <w:rFonts w:ascii="Arial" w:cs="Arial" w:eastAsia="Arial" w:hAnsi="Arial"/>
          <w:sz w:val="24"/>
          <w:szCs w:val="24"/>
        </w:rPr>
        <w:t xml:space="preserve">3) расходы на охрану окружающей среды;</w:t>
      </w:r>
    </w:p>
    <w:p>
      <w:pPr>
        <w:spacing w:after="60"/>
        <w:ind w:firstLine="567"/>
        <w:jc w:val="both"/>
      </w:pPr>
      <w:r>
        <w:rPr>
          <w:rFonts w:ascii="Arial" w:cs="Arial" w:eastAsia="Arial" w:hAnsi="Arial"/>
          <w:sz w:val="24"/>
          <w:szCs w:val="24"/>
        </w:rPr>
        <w:t xml:space="preserve">- на социальные цели:</w:t>
      </w:r>
    </w:p>
    <w:p>
      <w:pPr>
        <w:spacing w:after="60"/>
        <w:ind w:firstLine="567"/>
        <w:jc w:val="both"/>
      </w:pPr>
      <w:r>
        <w:rPr>
          <w:rFonts w:ascii="Arial" w:cs="Arial" w:eastAsia="Arial" w:hAnsi="Arial"/>
          <w:sz w:val="24"/>
          <w:szCs w:val="24"/>
        </w:rPr>
        <w:t xml:space="preserve">1) расходы на социальное обеспечение (выплату пенсий, стипендий, пособий);</w:t>
      </w:r>
    </w:p>
    <w:p>
      <w:pPr>
        <w:spacing w:after="60"/>
        <w:ind w:firstLine="567"/>
        <w:jc w:val="both"/>
      </w:pPr>
      <w:r>
        <w:rPr>
          <w:rFonts w:ascii="Arial" w:cs="Arial" w:eastAsia="Arial" w:hAnsi="Arial"/>
          <w:sz w:val="24"/>
          <w:szCs w:val="24"/>
        </w:rPr>
        <w:t xml:space="preserve">2) расходы на образование, здравоохранение, развитие прикладной науки.</w:t>
      </w:r>
    </w:p>
    <w:p>
      <w:pPr>
        <w:spacing w:after="60"/>
        <w:ind w:firstLine="567"/>
        <w:jc w:val="both"/>
      </w:pPr>
      <w:r>
        <w:rPr>
          <w:rFonts w:ascii="Arial" w:cs="Arial" w:eastAsia="Arial" w:hAnsi="Arial"/>
          <w:sz w:val="24"/>
          <w:szCs w:val="24"/>
        </w:rPr>
        <w:t xml:space="preserve">Прогноз расходов на среднесрочный период формировался из следующих предпосылок:</w:t>
      </w:r>
    </w:p>
    <w:p>
      <w:pPr>
        <w:spacing w:after="60"/>
        <w:ind w:firstLine="567"/>
        <w:jc w:val="both"/>
      </w:pPr>
      <w:r>
        <w:rPr>
          <w:rFonts w:ascii="Arial" w:cs="Arial" w:eastAsia="Arial" w:hAnsi="Arial"/>
          <w:sz w:val="24"/>
          <w:szCs w:val="24"/>
        </w:rPr>
        <w:t xml:space="preserve">- анализ предыдущих лет - выявление закономерностей и определение предыдущих потребностей по секторам (отраслям) экономики и по ведомствам;</w:t>
      </w:r>
    </w:p>
    <w:p>
      <w:pPr>
        <w:spacing w:after="60"/>
        <w:ind w:firstLine="567"/>
        <w:jc w:val="both"/>
      </w:pPr>
      <w:r>
        <w:rPr>
          <w:rFonts w:ascii="Arial" w:cs="Arial" w:eastAsia="Arial" w:hAnsi="Arial"/>
          <w:sz w:val="24"/>
          <w:szCs w:val="24"/>
        </w:rPr>
        <w:t xml:space="preserve">- сравнительный анализ фактических расходов в 2016 году к прогнозным расходам согласно Среднесрочному прогнозу бюджета (далее - СПБ) 2016-2018 годов;</w:t>
      </w:r>
    </w:p>
    <w:p>
      <w:pPr>
        <w:spacing w:after="60"/>
        <w:ind w:firstLine="567"/>
        <w:jc w:val="both"/>
      </w:pPr>
      <w:r>
        <w:rPr>
          <w:rFonts w:ascii="Arial" w:cs="Arial" w:eastAsia="Arial" w:hAnsi="Arial"/>
          <w:sz w:val="24"/>
          <w:szCs w:val="24"/>
        </w:rPr>
        <w:t xml:space="preserve">- влияние внешних и внутренних политических и экономических факторов.</w:t>
      </w:r>
    </w:p>
    <w:p>
      <w:pPr>
        <w:spacing w:after="60"/>
        <w:ind w:firstLine="567"/>
        <w:jc w:val="both"/>
      </w:pPr>
      <w:r>
        <w:rPr>
          <w:rFonts w:ascii="Arial" w:cs="Arial" w:eastAsia="Arial" w:hAnsi="Arial"/>
          <w:sz w:val="24"/>
          <w:szCs w:val="24"/>
        </w:rPr>
        <w:t xml:space="preserve">В 2018 году общие расходы государственного бюджета прогнозируются с ростом относительно 2017 года и составят 106,8%, 2019 год относительно 2018 года с ростом 101,0% и снижением в 2020 году на 0,2%.</w:t>
      </w:r>
    </w:p>
    <w:p>
      <w:pPr>
        <w:spacing w:after="60"/>
        <w:ind w:firstLine="567"/>
        <w:jc w:val="both"/>
      </w:pPr>
      <w:r>
        <w:rPr>
          <w:rFonts w:ascii="Arial" w:cs="Arial" w:eastAsia="Arial" w:hAnsi="Arial"/>
          <w:sz w:val="24"/>
          <w:szCs w:val="24"/>
        </w:rPr>
        <w:t xml:space="preserve">Текущие расходы в предстоящем периоде прогнозируются с ежегодным ростом в 2018-2020 годах в среднем на 2,0%, капитальные расходы с ростом в 2018-2019 годах в среднем на 10,9% и снижением на 5,8% в 2020 году. Это связано со снижением расходов на государственные инвестиции (далее - ГИ) из внешних источников. Социальную ориентированность государства выражает представленный в ОНФП на 2018-2020 годы сравнительный анализ расходов по секторам, приоритеты расставлены последовательно по убыванию: расходы на социальные, экономические и общегосударственные цели. Прогнозируется снижение дефицита государственного бюджета с 4,4% к ВВП в 2018 году, 3,8% к ВВП в 2019 году, до 3,1% к ВВП в 2020 году.</w:t>
      </w:r>
    </w:p>
    <w:p>
      <w:pPr>
        <w:spacing w:after="60"/>
        <w:ind w:firstLine="567"/>
        <w:jc w:val="both"/>
      </w:pPr>
      <w:r>
        <w:rPr>
          <w:rFonts w:ascii="Arial" w:cs="Arial" w:eastAsia="Arial" w:hAnsi="Arial"/>
          <w:sz w:val="24"/>
          <w:szCs w:val="24"/>
        </w:rPr>
        <w:t xml:space="preserve">В среднесрочном периоде предполагается удержание дефицита в среднем на уровне 3,7% от ВВП, и источником его покрытия будет внутреннее и внешнее заимствование. Одной из основных государственных стратегий является стратегия управления внешним долгом. Внешний долг оказывает как прямое, так и косвенное воздействие на многие элементы экономической системы (например, на уровень инфляции, формирование государственного бюджета, денежно-валютное регулирование, внутренние и внешние сбережения граждан и страны в целом, иностранные инвестиции и др.). На выплату по внешнему государственному долгу направляются значительные ресурсы, которых в стране не хватает и которые необходимы для дальнейшего развития экономики в целом.</w:t>
      </w:r>
    </w:p>
    <w:p>
      <w:pPr>
        <w:spacing w:after="60"/>
        <w:ind w:firstLine="567"/>
        <w:jc w:val="both"/>
      </w:pPr>
      <w:r>
        <w:rPr>
          <w:rFonts w:ascii="Arial" w:cs="Arial" w:eastAsia="Arial" w:hAnsi="Arial"/>
          <w:sz w:val="24"/>
          <w:szCs w:val="24"/>
        </w:rPr>
        <w:t xml:space="preserve">В настоящее время в республике осуществляется переход на систему организации бюджетного процесса и государственного управления, которая должна стать реальным шагом на пути к повышению эффективности расходов бюджета. Бюджет формируется исходя из целей и планируемых результатов государственной политики. Расходы тесно связаны с функциями, программами, услугами, видами деятельности. При их планировании основное внимание уделяется обоснованию конечных результатов в рамках бюджетных программ с позиций экономической эффективности и социальной значимости. Внедрение программного бюджета создает условия для повышения качества финансового управления и эффективности деятельности публично-правовых образований по предоставлению государственных услуг.</w:t>
      </w:r>
    </w:p>
    <w:p>
      <w:pPr>
        <w:spacing w:after="60"/>
        <w:ind w:firstLine="567"/>
        <w:jc w:val="both"/>
      </w:pPr>
      <w:r>
        <w:rPr>
          <w:rFonts w:ascii="Arial" w:cs="Arial" w:eastAsia="Arial" w:hAnsi="Arial"/>
          <w:sz w:val="24"/>
          <w:szCs w:val="24"/>
        </w:rPr>
        <w:t xml:space="preserve">Программное бюджетирование представляет собой методологию планирования, исполнения и контроля за исполнением бюджета, обеспечивающую взаимосвязь процесса распределения государственных расходов с результатами от реализации программ, разрабатываемых на основе стратегических целей, с учетом приоритетов государственной политики, общественной значимости ожидаемых и конечных результатов использования бюджетных средств. Основная цель программного бюджетирования состоит в повышении социальной и экономической эффективности бюджетных расходов.</w:t>
      </w:r>
    </w:p>
    <w:p>
      <w:pPr>
        <w:spacing w:after="200" w:before="200"/>
        <w:jc w:val="center"/>
      </w:pPr>
      <w:r>
        <w:rPr>
          <w:rFonts w:ascii="Arial" w:cs="Arial" w:eastAsia="Arial" w:hAnsi="Arial"/>
          <w:b/>
          <w:bCs/>
          <w:sz w:val="24"/>
          <w:szCs w:val="24"/>
        </w:rPr>
        <w:t xml:space="preserve">2. Макрофискальная техническая записка</w:t>
      </w:r>
    </w:p>
    <w:p>
      <w:pPr>
        <w:spacing w:after="200" w:before="200"/>
        <w:jc w:val="center"/>
      </w:pPr>
      <w:r>
        <w:rPr>
          <w:rFonts w:ascii="Arial" w:cs="Arial" w:eastAsia="Arial" w:hAnsi="Arial"/>
          <w:b/>
          <w:bCs/>
          <w:sz w:val="24"/>
          <w:szCs w:val="24"/>
        </w:rPr>
        <w:t xml:space="preserve">2.1. Макроэкономическая политика и среднесрочные прогнозы</w:t>
      </w:r>
    </w:p>
    <w:p>
      <w:pPr>
        <w:spacing w:after="60"/>
        <w:ind w:firstLine="567"/>
        <w:jc w:val="both"/>
      </w:pPr>
      <w:r>
        <w:rPr>
          <w:rFonts w:ascii="Arial" w:cs="Arial" w:eastAsia="Arial" w:hAnsi="Arial"/>
          <w:sz w:val="24"/>
          <w:szCs w:val="24"/>
        </w:rPr>
        <w:t xml:space="preserve">Макроэкономическая ситуация в Кыргызской Республике за 2015-2016 годы, несмотря на складывающуюся неоднозначную ситуацию в мировой экономике, на сырьевом и финансовом рынках, позволила обеспечить макроэкономическую и социальную стабильность в стране благодаря проводимой согласованной экономической политике Правительства Кыргызской Республики и Национального банка Кыргызской Республики. Однако на экономическое развитие страны все еще продолжает оказывать влияние снижение/замедление экономического роста в странах - основных торговых партнерах, что сказывается на отечественной экономике через каналы торговли и объемы притока денежных переводов в страну. Среднегодовой темп роста ВВП сохранил положительную динамику и составил 3,85%.</w:t>
      </w:r>
    </w:p>
    <w:p>
      <w:pPr>
        <w:spacing w:after="60"/>
        <w:ind w:firstLine="567"/>
        <w:jc w:val="both"/>
      </w:pPr>
      <w:r>
        <w:rPr>
          <w:rFonts w:ascii="Arial" w:cs="Arial" w:eastAsia="Arial" w:hAnsi="Arial"/>
          <w:sz w:val="24"/>
          <w:szCs w:val="24"/>
        </w:rPr>
        <w:t xml:space="preserve">В 2015 году, несмотря на высокие темпы роста сельского хозяйства (6,2%) и строительства (16,3%), реальный рост ВВП сложился на уровне 3,9% из-за замедления темпа роста в сфере услуг (до 3,6%) и спада в промышленности (на 3,1%), обусловленного спадом производства основных металлов, пищевых продуктов (включая напитки) и табачных изделий, текстильного производства, производства одежды, резиновых и пластмассовых изделий, прочих неметаллических минеральных продуктов, электрического оборудования, транспортных средств и химической продукции.</w:t>
      </w:r>
    </w:p>
    <w:p>
      <w:pPr>
        <w:spacing w:after="60"/>
        <w:ind w:firstLine="567"/>
        <w:jc w:val="both"/>
      </w:pPr>
      <w:r>
        <w:rPr>
          <w:rFonts w:ascii="Arial" w:cs="Arial" w:eastAsia="Arial" w:hAnsi="Arial"/>
          <w:sz w:val="24"/>
          <w:szCs w:val="24"/>
        </w:rPr>
        <w:t xml:space="preserve">В 2016 году в результате улучшения ситуации в отраслях экономики удалось достичь реального роста ВВП на уровне 3,8% за счет увеличения темпов роста во всех секторах экономики, в том числе в сельском хозяйстве - на 3,0%, сфере услуг - на 2,9%, строительстве - на 7,4% и промышленности - на 4,9%. Благоприятными факторами, повлиявшими на экономический рост, стали рост цен на золото, прирост чистого притока денежных переводов физических лиц, предоставление льготных кредитов фермерам, укрепление национальной валюты по отношению к доллару США.</w:t>
      </w:r>
    </w:p>
    <w:p>
      <w:pPr>
        <w:spacing w:after="60"/>
        <w:ind w:firstLine="567"/>
        <w:jc w:val="both"/>
      </w:pPr>
      <w:r>
        <w:rPr>
          <w:rFonts w:ascii="Arial" w:cs="Arial" w:eastAsia="Arial" w:hAnsi="Arial"/>
          <w:sz w:val="24"/>
          <w:szCs w:val="24"/>
        </w:rPr>
        <w:t xml:space="preserve">В 2015-2016 годах среднегодовой рост реального ВВП (3,85%) обеспечивался производством сферы услуг (среднегодовой темп реального роста составил 3,3%), промышленности (0,3%), строительства (11,9%), сельского хозяйства (4,6%).</w:t>
      </w:r>
    </w:p>
    <w:p>
      <w:pPr>
        <w:spacing w:after="240" w:before="240"/>
        <w:ind w:firstLine="567"/>
        <w:jc w:val="right"/>
      </w:pPr>
      <w:r>
        <w:rPr>
          <w:rFonts w:ascii="Arial" w:cs="Arial" w:eastAsia="Arial" w:hAnsi="Arial"/>
          <w:sz w:val="24"/>
          <w:szCs w:val="24"/>
        </w:rPr>
        <w:t xml:space="preserve">Таблица 1</w:t>
      </w:r>
    </w:p>
    <w:p>
      <w:pPr>
        <w:spacing w:after="240" w:before="200"/>
        <w:jc w:val="center"/>
      </w:pPr>
      <w:r>
        <w:rPr>
          <w:rFonts w:ascii="Arial" w:cs="Arial" w:eastAsia="Arial" w:hAnsi="Arial"/>
          <w:b/>
          <w:bCs/>
          <w:sz w:val="32"/>
          <w:szCs w:val="32"/>
        </w:rPr>
        <w:t xml:space="preserve">Структура производства и темпы роста реального ВВП,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30"/>
        <w:gridCol w:w="1022"/>
        <w:gridCol w:w="1022"/>
        <w:gridCol w:w="2604"/>
      </w:tblGrid>
      <w:tr>
        <w:tc>
          <w:tcPr>
            <w:tcW w:type="dxa" w:w="55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r>
              <w:rPr>
                <w:rFonts w:ascii="Arial" w:cs="Arial" w:eastAsia="Arial" w:hAnsi="Arial"/>
                <w:b/>
                <w:bCs/>
                <w:sz w:val="24"/>
                <w:szCs w:val="24"/>
              </w:rPr>
              <w:t xml:space="preserve">0</w:t>
            </w:r>
            <w:r>
              <w:rPr>
                <w:rFonts w:ascii="Arial" w:cs="Arial" w:eastAsia="Arial" w:hAnsi="Arial"/>
                <w:b/>
                <w:bCs/>
                <w:sz w:val="24"/>
                <w:szCs w:val="24"/>
              </w:rPr>
              <w:t xml:space="preserve">16 г.</w:t>
            </w:r>
          </w:p>
        </w:tc>
        <w:tc>
          <w:tcPr>
            <w:tcW w:type="dxa" w:w="26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2015-2016 гг.</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430489,4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458027,4</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49,8</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49,5</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ВВП (%)</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валовой продукции отраслей, %</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Промышленность без Кумтора</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r>
      <w:tr>
        <w:tc>
          <w:tcPr>
            <w:tcW w:type="dxa" w:w="55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6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В промышленности среднегодовой рост за 2015-2016 годы составил 0,3%. Без учета Кумтора среднегодовой рост в промышленности составил 2,1%.</w:t>
      </w:r>
    </w:p>
    <w:p>
      <w:pPr>
        <w:spacing w:after="60"/>
        <w:ind w:firstLine="567"/>
        <w:jc w:val="both"/>
      </w:pPr>
      <w:r>
        <w:rPr>
          <w:rFonts w:ascii="Arial" w:cs="Arial" w:eastAsia="Arial" w:hAnsi="Arial"/>
          <w:sz w:val="24"/>
          <w:szCs w:val="24"/>
        </w:rPr>
        <w:t xml:space="preserve">В 2015 году спад промышленности на 4,4% обусловлен снижением обрабатывающего производства на 7,8% за счет снижения производства пищевых продуктов (включая напитки) и табачных изделий (на 6,7%), текстильного производства (на 11,3%), производства резиновых и пластмассовых изделий, прочих неметаллических минеральных продуктов (на 11,1%), производства основных металлов и готовых металлических изделий, кроме машин и оборудования (на 8,5%), производства электрического оборудования (на 8,8%), производства транспортных средств (на 29,5%), а также снижения обеспечения электроэнергией, газом, паром и кондиционированным воздухом (на 2,8%).</w:t>
      </w:r>
    </w:p>
    <w:p>
      <w:pPr>
        <w:spacing w:after="60"/>
        <w:ind w:firstLine="567"/>
        <w:jc w:val="both"/>
      </w:pPr>
      <w:r>
        <w:rPr>
          <w:rFonts w:ascii="Arial" w:cs="Arial" w:eastAsia="Arial" w:hAnsi="Arial"/>
          <w:sz w:val="24"/>
          <w:szCs w:val="24"/>
        </w:rPr>
        <w:t xml:space="preserve">Увеличение объемов промышленной продукции в 2016 году на 4,9% обусловлено ростом производства пищевых продуктов (включая напитки) и табачных изделий (на 12,1%), очищенных нефтепродуктов (на 44,4%), производства основных металлов и готовых металлических изделий, кроме машин и оборудования (на 5,8%), производства транспортных средств (на 8,8%), а также добычи полезных ископаемых (на 20,1%).</w:t>
      </w:r>
    </w:p>
    <w:p>
      <w:pPr>
        <w:spacing w:after="60"/>
        <w:ind w:firstLine="567"/>
        <w:jc w:val="both"/>
      </w:pPr>
      <w:r>
        <w:rPr>
          <w:rFonts w:ascii="Arial" w:cs="Arial" w:eastAsia="Arial" w:hAnsi="Arial"/>
          <w:sz w:val="24"/>
          <w:szCs w:val="24"/>
        </w:rPr>
        <w:t xml:space="preserve">Среднегодовой темп роста в сельском хозяйстве за 2015-2016 годы сложился на уровне 4,6%.</w:t>
      </w:r>
    </w:p>
    <w:p>
      <w:pPr>
        <w:spacing w:after="60"/>
        <w:ind w:firstLine="567"/>
        <w:jc w:val="both"/>
      </w:pPr>
      <w:r>
        <w:rPr>
          <w:rFonts w:ascii="Arial" w:cs="Arial" w:eastAsia="Arial" w:hAnsi="Arial"/>
          <w:sz w:val="24"/>
          <w:szCs w:val="24"/>
        </w:rPr>
        <w:t xml:space="preserve">В 2015 году на рост валового выпуска сельского хозяйства, лесного хозяйства и рыболовства (на 6,2%) повлиял рост как в растениеводстве (рост на 9,9%) за счет увеличения производства зерновых культур (без зернобобовых, риса и гречихи) (на 28,2%), сахарной свеклы (на 5,5%), картофеля (на 7,2%), овощей (на 15,7%), бахчевых культур (на 25,0%), так и в животноводстве (рост на 2,7%) за счет увеличения поголовья крупного рогатого скота, лошадей и птицы.</w:t>
      </w:r>
    </w:p>
    <w:p>
      <w:pPr>
        <w:spacing w:after="60"/>
        <w:ind w:firstLine="567"/>
        <w:jc w:val="both"/>
      </w:pPr>
      <w:r>
        <w:rPr>
          <w:rFonts w:ascii="Arial" w:cs="Arial" w:eastAsia="Arial" w:hAnsi="Arial"/>
          <w:sz w:val="24"/>
          <w:szCs w:val="24"/>
        </w:rPr>
        <w:t xml:space="preserve">В 2016 году рост сельского хозяйства на 3,0% обусловлен увеличением как растениеводческой продукции на 3,7%, за счет увеличения производства сахарной свеклы (фабричной) (в 3,8 раза), плодово-ягодных культур (на 15,3%), хлопка-сырца (на 18,2%) и роста животноводства на 2,5% за счет роста производства мяса (на 2,2%), молока (на 2,9%), яиц (на 8,5%) и шерсти (на 2,5%).</w:t>
      </w:r>
    </w:p>
    <w:p>
      <w:pPr>
        <w:spacing w:after="60"/>
        <w:ind w:firstLine="567"/>
        <w:jc w:val="both"/>
      </w:pPr>
      <w:r>
        <w:rPr>
          <w:rFonts w:ascii="Arial" w:cs="Arial" w:eastAsia="Arial" w:hAnsi="Arial"/>
          <w:sz w:val="24"/>
          <w:szCs w:val="24"/>
        </w:rPr>
        <w:t xml:space="preserve">В 2015-2016 годах рост услуг обеспечивался в среднем на 3,3% в год в основном за счет расширения услуг оптовой и розничной торговли, ремонта автомобилей и мотоциклов. Благоприятными предпосылками стали относительно стабильные цены на потребительские товары, развитие деятельности гостиниц и ресторанов.</w:t>
      </w:r>
    </w:p>
    <w:p>
      <w:pPr>
        <w:spacing w:after="60"/>
        <w:ind w:firstLine="567"/>
        <w:jc w:val="both"/>
      </w:pPr>
      <w:r>
        <w:rPr>
          <w:rFonts w:ascii="Arial" w:cs="Arial" w:eastAsia="Arial" w:hAnsi="Arial"/>
          <w:sz w:val="24"/>
          <w:szCs w:val="24"/>
        </w:rPr>
        <w:t xml:space="preserve">В 2015 году темп роста услуг составил 3,6% в основном за счет увеличения объема услуг оптовой и розничной торговли, ремонта автомобилей и мотоциклов (на 7,1%), услуг гостиниц и ресторанов (на 9,1%), информации и связи (на 3,2%) и финансового посредничества и страхования (на 2,2%).</w:t>
      </w:r>
    </w:p>
    <w:p>
      <w:pPr>
        <w:spacing w:after="60"/>
        <w:ind w:firstLine="567"/>
        <w:jc w:val="both"/>
      </w:pPr>
      <w:r>
        <w:rPr>
          <w:rFonts w:ascii="Arial" w:cs="Arial" w:eastAsia="Arial" w:hAnsi="Arial"/>
          <w:sz w:val="24"/>
          <w:szCs w:val="24"/>
        </w:rPr>
        <w:t xml:space="preserve">В 2016 году рост в сфере услуг составил 2,9% в результате роста объемов услуг оптовой и розничной торговли, ремонта автомобилей и мотоциклов (на 7,6%), услуг гостиниц и ресторанов (на 9,5%), транспортной деятельности и хранения грузов (на 0,4%), финансового посредничества и страхования (на 1,6%).</w:t>
      </w:r>
    </w:p>
    <w:p>
      <w:pPr>
        <w:spacing w:after="60"/>
        <w:ind w:firstLine="567"/>
        <w:jc w:val="both"/>
      </w:pPr>
      <w:r>
        <w:rPr>
          <w:rFonts w:ascii="Arial" w:cs="Arial" w:eastAsia="Arial" w:hAnsi="Arial"/>
          <w:sz w:val="24"/>
          <w:szCs w:val="24"/>
        </w:rPr>
        <w:t xml:space="preserve">В строительной отрасли за рассматриваемый период наблюдался рост в среднем на 11,9% в результате роста валовой продукции строительства на 16,3% в 2015 году и на 7,4% в 2016 году.</w:t>
      </w:r>
    </w:p>
    <w:p>
      <w:pPr>
        <w:spacing w:after="60"/>
        <w:ind w:firstLine="567"/>
        <w:jc w:val="both"/>
      </w:pPr>
      <w:r>
        <w:rPr>
          <w:rFonts w:ascii="Arial" w:cs="Arial" w:eastAsia="Arial" w:hAnsi="Arial"/>
          <w:sz w:val="24"/>
          <w:szCs w:val="24"/>
        </w:rPr>
        <w:t xml:space="preserve">В 2015 году рост в отрасли на 16,3% обусловлен увеличением освоения инвестиций в основной капитал (на 14,0%), в том числе за счет увеличения освоенных инвестиций на строительстве объектов сельского, лесного хозяйства и рыболовства (на 42,7%), обрабатывающих производств (в 1,6 раза), добычи полезных ископаемых (на 8,5%), водоснабжения, очистки, обработки отходов (на 39,7%), оптовой и розничной торговли (на 1,9%), транспортной деятельности и хранения грузов (в 1,5 раза), искусства, развлечения и отдыха (на 34,0%), образования (в 1,6 раза), а также жилищного строительства (12,6%).</w:t>
      </w:r>
    </w:p>
    <w:p>
      <w:pPr>
        <w:spacing w:after="60"/>
        <w:ind w:firstLine="567"/>
        <w:jc w:val="both"/>
      </w:pPr>
      <w:r>
        <w:rPr>
          <w:rFonts w:ascii="Arial" w:cs="Arial" w:eastAsia="Arial" w:hAnsi="Arial"/>
          <w:sz w:val="24"/>
          <w:szCs w:val="24"/>
        </w:rPr>
        <w:t xml:space="preserve">В 2016 году рост строительной отрасли составил 7,4% за счет роста освоения инвестиций в основной капитал (на 3,8%) благодаря увеличению освоенных инвестиций в строительстве объектов сельского хозяйства, лесного хозяйства и рыболовства (в 1,3 раза), строительстве и реконструкции объектов по обеспечению электроэнергией, газом, паром и кондиционированным воздухом (на 7,4%), оптовой и розничной торговли (в 1,8 раза), транспортной деятельности и хранения грузов (на 37,8%), гостиниц и ресторанов (в 3,4 раза), на строительстве объектов искусства, развлечения и отдыха (в 2,7 раза).</w:t>
      </w:r>
    </w:p>
    <w:p>
      <w:pPr>
        <w:spacing w:after="60"/>
        <w:ind w:firstLine="567"/>
        <w:jc w:val="both"/>
      </w:pPr>
      <w:r>
        <w:rPr>
          <w:rFonts w:ascii="Arial" w:cs="Arial" w:eastAsia="Arial" w:hAnsi="Arial"/>
          <w:sz w:val="24"/>
          <w:szCs w:val="24"/>
        </w:rPr>
        <w:t xml:space="preserve">В 2015 году уровень инфляции (в % к декабрю предыдущего года) составил 3,4% в связи с ростом внутренних цен на алкогольные напитки, табачные изделия (на 12,4%), непродовольственные товары (на 12,3%), тарифы на услуги (на 6,7%). Снижение цен наблюдалось на пищевые продукты и безалкогольные напитки (на 4,2%).</w:t>
      </w:r>
    </w:p>
    <w:p>
      <w:pPr>
        <w:spacing w:after="60"/>
        <w:ind w:firstLine="567"/>
        <w:jc w:val="both"/>
      </w:pPr>
      <w:r>
        <w:rPr>
          <w:rFonts w:ascii="Arial" w:cs="Arial" w:eastAsia="Arial" w:hAnsi="Arial"/>
          <w:sz w:val="24"/>
          <w:szCs w:val="24"/>
        </w:rPr>
        <w:t xml:space="preserve">В 2016 году зафиксирована дефляция (снижение) (в % к декабрю предыдущего года) на 0,5% в результате снижения внутренних цен на пищевые продукты и безалкогольные напитки (на 5,0%), жилищные услуги, воду, электроэнергию, газ и другие виды топлива (на 4,3%).</w:t>
      </w:r>
    </w:p>
    <w:p>
      <w:pPr>
        <w:spacing w:after="60"/>
        <w:ind w:firstLine="567"/>
        <w:jc w:val="both"/>
      </w:pPr>
      <w:r>
        <w:rPr>
          <w:rFonts w:ascii="Arial" w:cs="Arial" w:eastAsia="Arial" w:hAnsi="Arial"/>
          <w:sz w:val="24"/>
          <w:szCs w:val="24"/>
        </w:rPr>
        <w:t xml:space="preserve">Экспорт товаров уменьшился с 1883,7 млн. долл. США в 2014 году до 1482,9 млн. долл. США в 2015 году и увеличился до 1544,6 млн. долл. США в 2016 году. Снижение среднегодового номинального темпа роста экспорта товаров за 2015-2016 годы составило 8,6%.</w:t>
      </w:r>
    </w:p>
    <w:p>
      <w:pPr>
        <w:spacing w:after="60"/>
        <w:ind w:firstLine="567"/>
        <w:jc w:val="both"/>
      </w:pPr>
      <w:r>
        <w:rPr>
          <w:rFonts w:ascii="Arial" w:cs="Arial" w:eastAsia="Arial" w:hAnsi="Arial"/>
          <w:sz w:val="24"/>
          <w:szCs w:val="24"/>
        </w:rPr>
        <w:t xml:space="preserve">В 2015 году экспорт товаров в номинальном выражении снизился на 21,3% за счет сокращения экспортных поставок золота - на 7,2%, овощей - на 21,8%, съедобных плодов и орехов - на 19,9%, стекла и изделий из него - на 51,7%, ламп накаливания - на 19,0%, портландцемента - на 86,8%.</w:t>
      </w:r>
    </w:p>
    <w:p>
      <w:pPr>
        <w:spacing w:after="60"/>
        <w:ind w:firstLine="567"/>
        <w:jc w:val="both"/>
      </w:pPr>
      <w:r>
        <w:rPr>
          <w:rFonts w:ascii="Arial" w:cs="Arial" w:eastAsia="Arial" w:hAnsi="Arial"/>
          <w:sz w:val="24"/>
          <w:szCs w:val="24"/>
        </w:rPr>
        <w:t xml:space="preserve">В 2016 году экспорт товаров в номинальном выражении увеличился на 4,2% за счет увеличения экспорта золота - на 5,4%, руды и концентратов драгоценных металлов - в 210,5 раза, стекла и изделий из него - на 24,6%, съедобных плодов и орехов - на 1,6%, овощей - на 35,9%, портландцемента в 2,3 раза, хлопка - на 3,1%.</w:t>
      </w:r>
    </w:p>
    <w:p>
      <w:pPr>
        <w:spacing w:after="60"/>
        <w:ind w:firstLine="567"/>
        <w:jc w:val="both"/>
      </w:pPr>
      <w:r>
        <w:rPr>
          <w:rFonts w:ascii="Arial" w:cs="Arial" w:eastAsia="Arial" w:hAnsi="Arial"/>
          <w:sz w:val="24"/>
          <w:szCs w:val="24"/>
        </w:rPr>
        <w:t xml:space="preserve">Импорт товаров уменьшился с 5734,7 млн. долл. США в 2014 году до 4153,9 млн. долл. США в 2015 году и до 3919,1 млн. долл. США в 2016 году. Снижение среднегодового номинального темпа роста импорта товаров за 2015-2016 годы составило 16,7%.</w:t>
      </w:r>
    </w:p>
    <w:p>
      <w:pPr>
        <w:spacing w:after="60"/>
        <w:ind w:firstLine="567"/>
        <w:jc w:val="both"/>
      </w:pPr>
      <w:r>
        <w:rPr>
          <w:rFonts w:ascii="Arial" w:cs="Arial" w:eastAsia="Arial" w:hAnsi="Arial"/>
          <w:sz w:val="24"/>
          <w:szCs w:val="24"/>
        </w:rPr>
        <w:t xml:space="preserve">В 2015 году номинальный темп роста импорта товаров уменьшился на 27,6% в основном за счет сокращения импорта дизтоплива - на 21,5%, автомобильного бензина - на 22,4%, авиакеросина - 37,3%, газа природного - на 20,3%, черных металлов - на 25,0%, фармацевтической продукции - на 16,4%, пшеницы и маслина - на 37,1%.</w:t>
      </w:r>
    </w:p>
    <w:p>
      <w:pPr>
        <w:spacing w:after="60"/>
        <w:ind w:firstLine="567"/>
        <w:jc w:val="both"/>
      </w:pPr>
      <w:r>
        <w:rPr>
          <w:rFonts w:ascii="Arial" w:cs="Arial" w:eastAsia="Arial" w:hAnsi="Arial"/>
          <w:sz w:val="24"/>
          <w:szCs w:val="24"/>
        </w:rPr>
        <w:t xml:space="preserve">В 2016 году импорт товаров в номинальном выражении снизился на 5,7% за счет сокращения импорта дизтоплива - на 58,5%, автомобильного бензина - на 57,0%, авиакеросина - 53,3%, черных металлов - на 20,0%, фармацевтической продукции - на 28,7%, средств наземного транспорта, кроме ж/д - на 40,2%.</w:t>
      </w:r>
    </w:p>
    <w:p>
      <w:pPr>
        <w:spacing w:after="60"/>
        <w:ind w:firstLine="567"/>
        <w:jc w:val="both"/>
      </w:pPr>
      <w:r>
        <w:rPr>
          <w:rFonts w:ascii="Arial" w:cs="Arial" w:eastAsia="Arial" w:hAnsi="Arial"/>
          <w:sz w:val="24"/>
          <w:szCs w:val="24"/>
        </w:rPr>
        <w:t xml:space="preserve">Основные преобразования в социальной сфере в 2015-2016 годах были направлены на выполнение в полном объеме гарантированных социальных обязательств государства, на повышение уровня жизни населения и улучшение положения социально незащищенных категорий граждан. Правительству Кыргызской Республики удалось обеспечить устойчивость системы социальной защиты и преемственность социальной политики.</w:t>
      </w:r>
    </w:p>
    <w:p>
      <w:pPr>
        <w:spacing w:after="60"/>
        <w:ind w:firstLine="567"/>
        <w:jc w:val="both"/>
      </w:pPr>
      <w:r>
        <w:rPr>
          <w:rFonts w:ascii="Arial" w:cs="Arial" w:eastAsia="Arial" w:hAnsi="Arial"/>
          <w:sz w:val="24"/>
          <w:szCs w:val="24"/>
        </w:rPr>
        <w:t xml:space="preserve">В 2016 году среднемесячная заработная плата без учета малых предприятий составила 14492,0 сома, что превышает минимальный прожиточный минимум трудоспособного населения в 2,7 раза. В 2015 году среднемесячная заработная плата с учетом малых предприятий по отношению к 2014 году возросла на 3,1% в реальном выражении и составила 13483,0 сома. Стоимостная величина прожиточного минимума в среднем на душу населения уменьшилась на 7,5% по сравнению с 2015 годом и составила 4794,3 сома в 2016 году (5183,0 сома в 2015 году), в том числе трудоспособного населения - на 7,7% и составила 5352,0 сома (5799,8 сома в 2015 году).</w:t>
      </w:r>
    </w:p>
    <w:p>
      <w:pPr>
        <w:spacing w:after="60"/>
        <w:ind w:firstLine="567"/>
        <w:jc w:val="both"/>
      </w:pPr>
      <w:r>
        <w:rPr>
          <w:rFonts w:ascii="Arial" w:cs="Arial" w:eastAsia="Arial" w:hAnsi="Arial"/>
          <w:sz w:val="24"/>
          <w:szCs w:val="24"/>
        </w:rPr>
        <w:t xml:space="preserve">В 2016 году ВВП на душу населения в долларах США снизился по сравнению с 2015 годом на 2,6% и составил 1133,6 долл. США.</w:t>
      </w:r>
    </w:p>
    <w:p>
      <w:pPr>
        <w:spacing w:after="60"/>
        <w:ind w:firstLine="567"/>
        <w:jc w:val="both"/>
      </w:pPr>
      <w:r>
        <w:rPr>
          <w:rFonts w:ascii="Arial" w:cs="Arial" w:eastAsia="Arial" w:hAnsi="Arial"/>
          <w:sz w:val="24"/>
          <w:szCs w:val="24"/>
        </w:rPr>
        <w:t xml:space="preserve">Результаты оценок измерения благосостояния населения в республике свидетельствуют о повышении уровня бедности с 30,6% в 2014 году до 32,1% в 2015 году.</w:t>
      </w:r>
    </w:p>
    <w:p>
      <w:pPr>
        <w:spacing w:after="60"/>
        <w:ind w:firstLine="567"/>
        <w:jc w:val="both"/>
      </w:pPr>
      <w:r>
        <w:rPr>
          <w:rFonts w:ascii="Arial" w:cs="Arial" w:eastAsia="Arial" w:hAnsi="Arial"/>
          <w:sz w:val="24"/>
          <w:szCs w:val="24"/>
        </w:rPr>
        <w:t xml:space="preserve">Среднегодовая численность наличного населения республики в 2016 году по сравнению с 2015 годом увеличилась на 122,6 тыс. человек и составила 5824,7 тыс. человек. Численность занятого населения в республике в 2015 году по сравнению с 2014 годом увеличилась на 2,1% (с 2302,7 тыс. человек в 2014 году до 2352,1 тыс. человек в 2015 году). Уровень зарегистрированной безработицы в 2016 году составил 2,2% от экономически активного населения (в 2015 году - 2,2%).</w:t>
      </w:r>
    </w:p>
    <w:p>
      <w:pPr>
        <w:spacing w:after="240" w:before="240"/>
        <w:ind w:firstLine="567"/>
        <w:jc w:val="right"/>
      </w:pPr>
      <w:r>
        <w:rPr>
          <w:rFonts w:ascii="Arial" w:cs="Arial" w:eastAsia="Arial" w:hAnsi="Arial"/>
          <w:sz w:val="24"/>
          <w:szCs w:val="24"/>
        </w:rPr>
        <w:t xml:space="preserve">Таблица 2</w:t>
      </w:r>
    </w:p>
    <w:p>
      <w:pPr>
        <w:spacing w:after="240" w:before="200"/>
        <w:jc w:val="center"/>
      </w:pPr>
      <w:r>
        <w:rPr>
          <w:rFonts w:ascii="Arial" w:cs="Arial" w:eastAsia="Arial" w:hAnsi="Arial"/>
          <w:b/>
          <w:bCs/>
          <w:sz w:val="32"/>
          <w:szCs w:val="32"/>
        </w:rPr>
        <w:t xml:space="preserve">Социальные показатели за 2015-2016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37"/>
        <w:gridCol w:w="1620"/>
        <w:gridCol w:w="1620"/>
      </w:tblGrid>
      <w:tr>
        <w:tc>
          <w:tcPr>
            <w:tcW w:type="dxa" w:w="693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5702,1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5824,7</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2352,1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2387,5(*)</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Официальная безработица (в %)</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(сом.)</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13483,0</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14492,0(**)</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109,4</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 к прожиточному минимуму трудоспособного населения</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270,8</w:t>
            </w:r>
          </w:p>
        </w:tc>
      </w:tr>
      <w:tr>
        <w:tc>
          <w:tcPr>
            <w:tcW w:type="dxa" w:w="69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293,6</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310,2(*)</w:t>
            </w:r>
          </w:p>
        </w:tc>
      </w:tr>
    </w:tbl>
    <w:p>
      <w:pPr>
        <w:spacing w:after="60" w:before="120"/>
        <w:ind w:firstLine="567"/>
        <w:jc w:val="both"/>
      </w:pPr>
      <w:r>
        <w:rPr>
          <w:rFonts w:ascii="Arial" w:cs="Arial" w:eastAsia="Arial" w:hAnsi="Arial"/>
          <w:sz w:val="24"/>
          <w:szCs w:val="24"/>
        </w:rPr>
        <w:t xml:space="preserve">(*) ожидаемое;</w:t>
      </w:r>
    </w:p>
    <w:p>
      <w:pPr>
        <w:spacing w:after="60"/>
        <w:ind w:firstLine="567"/>
        <w:jc w:val="both"/>
      </w:pPr>
      <w:r>
        <w:rPr>
          <w:rFonts w:ascii="Arial" w:cs="Arial" w:eastAsia="Arial" w:hAnsi="Arial"/>
          <w:sz w:val="24"/>
          <w:szCs w:val="24"/>
        </w:rPr>
        <w:t xml:space="preserve">(**) без учета малых предприятий.</w:t>
      </w:r>
    </w:p>
    <w:p>
      <w:pPr>
        <w:spacing w:after="60"/>
        <w:ind w:firstLine="567"/>
        <w:jc w:val="both"/>
      </w:pPr>
      <w:r>
        <w:rPr>
          <w:rFonts w:ascii="Arial" w:cs="Arial" w:eastAsia="Arial" w:hAnsi="Arial"/>
          <w:sz w:val="24"/>
          <w:szCs w:val="24"/>
        </w:rPr>
        <w:t xml:space="preserve">Основной целью макроэкономической политики на 2017 год является сохранение макроэкономической стабильности и создание условий для положительной динамики экономического роста.</w:t>
      </w:r>
    </w:p>
    <w:p>
      <w:pPr>
        <w:spacing w:after="60"/>
        <w:ind w:firstLine="567"/>
        <w:jc w:val="both"/>
      </w:pPr>
      <w:r>
        <w:rPr>
          <w:rFonts w:ascii="Arial" w:cs="Arial" w:eastAsia="Arial" w:hAnsi="Arial"/>
          <w:sz w:val="24"/>
          <w:szCs w:val="24"/>
        </w:rPr>
        <w:t xml:space="preserve">В 2017 году экономическое развитие страны осуществляется на основе проведения активной политики по формированию и усилению экономического потенциала в соответствии с основными ориентирами и задачами, которые заложены в Национальной стратегии устойчивого развития Кыргызской Республики на период 2013-2017 годы, Плане действий Правительства Кыргызской Республики по реализации Программы Правительства Кыргызской Республики "Доверие и единство" на 2017 год. Членство Кыргызской Республики в ЕАЭС также будет выступать фактором обеспечения дополнительной устойчивости и развития экономики. В связи с этим рост ВВП ожидается на 3,5%. Инфляция главным образом будет определяться волатильностью обменного курса национальной валюты к иностранным валютам, влиянием мировых цен на продовольствие, а также инфляционными ожиданиями населения, изменением тарифной политики. Уровень инфляции в 2017 году ожидается на уровне 4,3% (в % к декабрю предыдущего года).</w:t>
      </w:r>
    </w:p>
    <w:p>
      <w:pPr>
        <w:spacing w:after="60"/>
        <w:ind w:firstLine="567"/>
        <w:jc w:val="both"/>
      </w:pPr>
      <w:r>
        <w:rPr>
          <w:rFonts w:ascii="Arial" w:cs="Arial" w:eastAsia="Arial" w:hAnsi="Arial"/>
          <w:sz w:val="24"/>
          <w:szCs w:val="24"/>
        </w:rPr>
        <w:t xml:space="preserve">В 2017 году валютная политика по-прежнему будет проводиться в соответствии с выбранным в Кыргызской Республике режимом плавающего обменного курса. Валютные интервенции будут направлены на смягчение колебаний обменного курса сома.</w:t>
      </w:r>
    </w:p>
    <w:p>
      <w:pPr>
        <w:spacing w:after="60"/>
        <w:ind w:firstLine="567"/>
        <w:jc w:val="both"/>
      </w:pPr>
      <w:r>
        <w:rPr>
          <w:rFonts w:ascii="Arial" w:cs="Arial" w:eastAsia="Arial" w:hAnsi="Arial"/>
          <w:sz w:val="24"/>
          <w:szCs w:val="24"/>
        </w:rPr>
        <w:t xml:space="preserve">В структуре производства ВВП будут доминировать сфера услуг, промышленность и сельское хозяйство с удельными весами 50,5%, 16,6% и 12,9% соответственно.</w:t>
      </w:r>
    </w:p>
    <w:p>
      <w:pPr>
        <w:spacing w:after="60"/>
        <w:ind w:firstLine="567"/>
        <w:jc w:val="both"/>
      </w:pPr>
      <w:r>
        <w:rPr>
          <w:rFonts w:ascii="Arial" w:cs="Arial" w:eastAsia="Arial" w:hAnsi="Arial"/>
          <w:sz w:val="24"/>
          <w:szCs w:val="24"/>
        </w:rPr>
        <w:t xml:space="preserve">В 2017 году в промышленности (без учета стоимости переработанного давальческого сырья, с учетом покупной электроэнергии) ожидается спад на 1,0%. Без учета Кумтора рост составит 5,5%. Спад в промышленной отрасли будет обусловлен снижением в обрабатывающем производстве (на 3,3%) за счет снижения производства основных металлов и готовых металлических изделий, кроме машин и оборудования (на 7,5%). Рост производства будет наблюдаться в добыче полезных ископаемых (на 16,8%), обеспечении электроэнергией, газом, паром и кондиционированным воздухом (на 3,7%), производстве продуктов (включая напитки) и табачных изделий (на 3,0%), текстильном производстве (на 2,0%), в производстве кокса и очищенных нефтепродуктов (на 16,7%), в производстве резиновых и пластмассовых изделий, прочих неметаллических минеральных продуктов (на 1,7%).</w:t>
      </w:r>
    </w:p>
    <w:p>
      <w:pPr>
        <w:spacing w:after="60"/>
        <w:ind w:firstLine="567"/>
        <w:jc w:val="both"/>
      </w:pPr>
      <w:r>
        <w:rPr>
          <w:rFonts w:ascii="Arial" w:cs="Arial" w:eastAsia="Arial" w:hAnsi="Arial"/>
          <w:sz w:val="24"/>
          <w:szCs w:val="24"/>
        </w:rPr>
        <w:t xml:space="preserve">В сельском хозяйстве в 2017 году ожидается рост на 3,0% за счет увеличения производства продукции растениеводства - на 3,5% и животноводства - на 2,3%.</w:t>
      </w:r>
    </w:p>
    <w:p>
      <w:pPr>
        <w:spacing w:after="60"/>
        <w:ind w:firstLine="567"/>
        <w:jc w:val="both"/>
      </w:pPr>
      <w:r>
        <w:rPr>
          <w:rFonts w:ascii="Arial" w:cs="Arial" w:eastAsia="Arial" w:hAnsi="Arial"/>
          <w:sz w:val="24"/>
          <w:szCs w:val="24"/>
        </w:rPr>
        <w:t xml:space="preserve">Основной целью развития сельского хозяйства являются создание условий для роста производства, повышение качества продукции и обеспечения продовольственной безопасности страны. На рост объемов производства будут оказывать: благоприятное влияние природно-климатического фактора, активное использование и внедрение фермерами систем капельного орошения, снятие фитосанитарного/ветеринарного контроля на кыргызско-казахстанском участке границы, продолжение оказания государственной поддержки в выделении ГСМ, обеспечении фермеров необходимой сельхозтехникой на льготных кредитных условиях, продолжение развития тепличных хозяйств и наращивания объемов производства в хозяйстве.</w:t>
      </w:r>
    </w:p>
    <w:p>
      <w:pPr>
        <w:spacing w:after="60"/>
        <w:ind w:firstLine="567"/>
        <w:jc w:val="both"/>
      </w:pPr>
      <w:r>
        <w:rPr>
          <w:rFonts w:ascii="Arial" w:cs="Arial" w:eastAsia="Arial" w:hAnsi="Arial"/>
          <w:sz w:val="24"/>
          <w:szCs w:val="24"/>
        </w:rPr>
        <w:t xml:space="preserve">Темп роста сферы услуг в 2017 году ожидается на уровне 4,3% за счет развития оптовой и розничной торговли, ремонта автомобилей и мотоциклов (на 8,3%), транспортной деятельности и хранения грузов (на 2,7%), гостиниц и ресторанов (на 10,0%), информации и связи (на 1,0%). На развитие сферы услуг будет оказывать влияние реальный рост денежных доходов населения.</w:t>
      </w:r>
    </w:p>
    <w:p>
      <w:pPr>
        <w:spacing w:after="60"/>
        <w:ind w:firstLine="567"/>
        <w:jc w:val="both"/>
      </w:pPr>
      <w:r>
        <w:rPr>
          <w:rFonts w:ascii="Arial" w:cs="Arial" w:eastAsia="Arial" w:hAnsi="Arial"/>
          <w:sz w:val="24"/>
          <w:szCs w:val="24"/>
        </w:rPr>
        <w:t xml:space="preserve">Общий объем капитальных вложений в 2017 году ожидается на уровне 150,6 млрд. сомов. Исходя из ожидаемого объема освоения капитальных вложений, валовая продукция строительства ожидается в объеме 146,2 млрд. сомов с реальным ростом на 11,5%. Приоритетными направлениями в строительстве будут: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w:t>
      </w:r>
    </w:p>
    <w:p>
      <w:pPr>
        <w:spacing w:after="60"/>
        <w:ind w:firstLine="567"/>
        <w:jc w:val="both"/>
      </w:pPr>
      <w:r>
        <w:rPr>
          <w:rFonts w:ascii="Arial" w:cs="Arial" w:eastAsia="Arial" w:hAnsi="Arial"/>
          <w:sz w:val="24"/>
          <w:szCs w:val="24"/>
        </w:rPr>
        <w:t xml:space="preserve">В структуре ВВП по использованию увеличится доля валовых инвестиций с 38,7% в 2016 году до 38,8% в 2017 году.</w:t>
      </w:r>
    </w:p>
    <w:p>
      <w:pPr>
        <w:spacing w:after="60"/>
        <w:ind w:firstLine="567"/>
        <w:jc w:val="both"/>
      </w:pPr>
      <w:r>
        <w:rPr>
          <w:rFonts w:ascii="Arial" w:cs="Arial" w:eastAsia="Arial" w:hAnsi="Arial"/>
          <w:sz w:val="24"/>
          <w:szCs w:val="24"/>
        </w:rPr>
        <w:t xml:space="preserve">Удельный вес общего потребления в ВВП увеличится со 116,7% в 2016 году до 117,1% в 2017 году за счет увеличения доли частного потребления (99,7% в 2016 году, 100,6% - в 2017 году). Доля государственного потребления снизится (17,0% - в 2016 году, 16,5% - в 2017 году). Темп реального роста частного потребления в 2017 году сложится на уровне 4,0%, а государственного потребления на 0,5%.</w:t>
      </w:r>
    </w:p>
    <w:p>
      <w:pPr>
        <w:spacing w:after="60"/>
        <w:ind w:firstLine="567"/>
        <w:jc w:val="both"/>
      </w:pPr>
      <w:r>
        <w:rPr>
          <w:rFonts w:ascii="Arial" w:cs="Arial" w:eastAsia="Arial" w:hAnsi="Arial"/>
          <w:sz w:val="24"/>
          <w:szCs w:val="24"/>
        </w:rPr>
        <w:t xml:space="preserve">Показатель чистого экспорта товаров и услуг к ВВП в 2017 году составит (-55,9%) и ухудшится на 0,5 процентных пункта по сравнению с 2016 годом (-55,4%).</w:t>
      </w:r>
    </w:p>
    <w:p>
      <w:pPr>
        <w:spacing w:after="60"/>
        <w:ind w:firstLine="567"/>
        <w:jc w:val="both"/>
      </w:pPr>
      <w:r>
        <w:rPr>
          <w:rFonts w:ascii="Arial" w:cs="Arial" w:eastAsia="Arial" w:hAnsi="Arial"/>
          <w:sz w:val="24"/>
          <w:szCs w:val="24"/>
        </w:rPr>
        <w:t xml:space="preserve">В 2017 году экспорт товаров составит 1600,0 млн. долл. США и увеличится на 3,6% (в номинальном выражении) за счет роста экспорта стекла листового, цемента, предметов одежды и одежных принадлежностей, хлопка, ламп накаливания, овощей и фруктов.</w:t>
      </w:r>
    </w:p>
    <w:p>
      <w:pPr>
        <w:spacing w:after="60"/>
        <w:ind w:firstLine="567"/>
        <w:jc w:val="both"/>
      </w:pPr>
      <w:r>
        <w:rPr>
          <w:rFonts w:ascii="Arial" w:cs="Arial" w:eastAsia="Arial" w:hAnsi="Arial"/>
          <w:sz w:val="24"/>
          <w:szCs w:val="24"/>
        </w:rPr>
        <w:t xml:space="preserve">Импорт товаров составит 4100,0 млн. долл. США и увеличится на 4,6% (в номинальном выражении) за счет роста импорта нефтепродуктов, природного газа, машин, специально предназначенных для конкретных отраслей, черных металлов и изделий из них, фармацевтической продукции, бумаги, картона и изделий из них.</w:t>
      </w:r>
    </w:p>
    <w:p>
      <w:pPr>
        <w:spacing w:after="60"/>
        <w:ind w:firstLine="567"/>
        <w:jc w:val="both"/>
      </w:pPr>
      <w:r>
        <w:rPr>
          <w:rFonts w:ascii="Arial" w:cs="Arial" w:eastAsia="Arial" w:hAnsi="Arial"/>
          <w:sz w:val="24"/>
          <w:szCs w:val="24"/>
        </w:rPr>
        <w:t xml:space="preserve">Координационным советом по макроэкономической и инвестиционной политике при Правительстве Кыргызской Республики из трех сценариев одобрен целевой макроэкономический сценарий социально-экономического развития Кыргызской Республики на среднесрочный период (2018-2020 годы), который принят за основу при формировании ОНФП на 2018-2020 годы.</w:t>
      </w:r>
    </w:p>
    <w:p>
      <w:pPr>
        <w:spacing w:after="60"/>
        <w:ind w:firstLine="567"/>
        <w:jc w:val="both"/>
      </w:pPr>
      <w:r>
        <w:rPr>
          <w:rFonts w:ascii="Arial" w:cs="Arial" w:eastAsia="Arial" w:hAnsi="Arial"/>
          <w:sz w:val="24"/>
          <w:szCs w:val="24"/>
        </w:rPr>
        <w:t xml:space="preserve">Макроэкономический прогноз. В среднесрочном периоде на 2018-2020 годы главными целями экономической политики будут укрепление наметившихся позитивных тенденций в социально-экономическом развитии и обеспечение устойчивого экономического роста.</w:t>
      </w:r>
    </w:p>
    <w:p>
      <w:pPr>
        <w:spacing w:after="60"/>
        <w:ind w:firstLine="567"/>
        <w:jc w:val="both"/>
      </w:pPr>
      <w:r>
        <w:rPr>
          <w:rFonts w:ascii="Arial" w:cs="Arial" w:eastAsia="Arial" w:hAnsi="Arial"/>
          <w:sz w:val="24"/>
          <w:szCs w:val="24"/>
        </w:rPr>
        <w:t xml:space="preserve">Членство Кыргызстана в ЕАЭС будет выступать фактором обеспечения дополнительной устойчивости и развития экономики и одновременно являться ответом на указанные вызовы благодаря интеграционным мерам и действиям.</w:t>
      </w:r>
    </w:p>
    <w:p>
      <w:pPr>
        <w:spacing w:after="60"/>
        <w:ind w:firstLine="567"/>
        <w:jc w:val="both"/>
      </w:pPr>
      <w:r>
        <w:rPr>
          <w:rFonts w:ascii="Arial" w:cs="Arial" w:eastAsia="Arial" w:hAnsi="Arial"/>
          <w:sz w:val="24"/>
          <w:szCs w:val="24"/>
        </w:rPr>
        <w:t xml:space="preserve">Важнейшими предпосылками успешной реализации макроэкономической политики станут:</w:t>
      </w:r>
    </w:p>
    <w:p>
      <w:pPr>
        <w:spacing w:after="60"/>
        <w:ind w:firstLine="567"/>
        <w:jc w:val="both"/>
      </w:pPr>
      <w:r>
        <w:rPr>
          <w:rFonts w:ascii="Arial" w:cs="Arial" w:eastAsia="Arial" w:hAnsi="Arial"/>
          <w:sz w:val="24"/>
          <w:szCs w:val="24"/>
        </w:rPr>
        <w:t xml:space="preserve">- социально-политическая стабильность в стране;</w:t>
      </w:r>
    </w:p>
    <w:p>
      <w:pPr>
        <w:spacing w:after="60"/>
        <w:ind w:firstLine="567"/>
        <w:jc w:val="both"/>
      </w:pPr>
      <w:r>
        <w:rPr>
          <w:rFonts w:ascii="Arial" w:cs="Arial" w:eastAsia="Arial" w:hAnsi="Arial"/>
          <w:sz w:val="24"/>
          <w:szCs w:val="24"/>
        </w:rPr>
        <w:t xml:space="preserve">- полная интеграция Кыргызской Республики в ЕАЭС как фактор обеспечения дополнительной устойчивости и развития экономики благодаря интеграционным мерам и действиям;</w:t>
      </w:r>
    </w:p>
    <w:p>
      <w:pPr>
        <w:spacing w:after="60"/>
        <w:ind w:firstLine="567"/>
        <w:jc w:val="both"/>
      </w:pPr>
      <w:r>
        <w:rPr>
          <w:rFonts w:ascii="Arial" w:cs="Arial" w:eastAsia="Arial" w:hAnsi="Arial"/>
          <w:sz w:val="24"/>
          <w:szCs w:val="24"/>
        </w:rPr>
        <w:t xml:space="preserve">- активное использование членства Кыргызской Республики во Всемирной торговой организации (далее - ВТО), преференциального статуса пользователя схемы ВСП+ и углубление сотрудничества с международными экономическими и финансовыми организациями;</w:t>
      </w:r>
    </w:p>
    <w:p>
      <w:pPr>
        <w:spacing w:after="60"/>
        <w:ind w:firstLine="567"/>
        <w:jc w:val="both"/>
      </w:pPr>
      <w:r>
        <w:rPr>
          <w:rFonts w:ascii="Arial" w:cs="Arial" w:eastAsia="Arial" w:hAnsi="Arial"/>
          <w:sz w:val="24"/>
          <w:szCs w:val="24"/>
        </w:rPr>
        <w:t xml:space="preserve">- рост деловой активности хозяйствующих субъектов и повышение привлекательности бизнес-среды на фоне восстановления/улучшения экономического роста в странах основных торговых партнерах;</w:t>
      </w:r>
    </w:p>
    <w:p>
      <w:pPr>
        <w:spacing w:after="60"/>
        <w:ind w:firstLine="567"/>
        <w:jc w:val="both"/>
      </w:pPr>
      <w:r>
        <w:rPr>
          <w:rFonts w:ascii="Arial" w:cs="Arial" w:eastAsia="Arial" w:hAnsi="Arial"/>
          <w:sz w:val="24"/>
          <w:szCs w:val="24"/>
        </w:rPr>
        <w:t xml:space="preserve">- реализация крупных инвестиционных проектов;</w:t>
      </w:r>
    </w:p>
    <w:p>
      <w:pPr>
        <w:spacing w:after="60"/>
        <w:ind w:firstLine="567"/>
        <w:jc w:val="both"/>
      </w:pPr>
      <w:r>
        <w:rPr>
          <w:rFonts w:ascii="Arial" w:cs="Arial" w:eastAsia="Arial" w:hAnsi="Arial"/>
          <w:sz w:val="24"/>
          <w:szCs w:val="24"/>
        </w:rPr>
        <w:t xml:space="preserve">- усиление работы по импортозамещению, развитие экспортных операций и приоритетных секторов с высоким экспортным потенциалом;</w:t>
      </w:r>
    </w:p>
    <w:p>
      <w:pPr>
        <w:spacing w:after="60"/>
        <w:ind w:firstLine="567"/>
        <w:jc w:val="both"/>
      </w:pPr>
      <w:r>
        <w:rPr>
          <w:rFonts w:ascii="Arial" w:cs="Arial" w:eastAsia="Arial" w:hAnsi="Arial"/>
          <w:sz w:val="24"/>
          <w:szCs w:val="24"/>
        </w:rPr>
        <w:t xml:space="preserve">- активизация работы Российско-Кыргызского Фонда развития, продолжение субсидирования кредитования отраслей сельского хозяйства;</w:t>
      </w:r>
    </w:p>
    <w:p>
      <w:pPr>
        <w:spacing w:after="60"/>
        <w:ind w:firstLine="567"/>
        <w:jc w:val="both"/>
      </w:pPr>
      <w:r>
        <w:rPr>
          <w:rFonts w:ascii="Arial" w:cs="Arial" w:eastAsia="Arial" w:hAnsi="Arial"/>
          <w:sz w:val="24"/>
          <w:szCs w:val="24"/>
        </w:rPr>
        <w:t xml:space="preserve">- улучшение инвестиционного климата страны через реализацию </w:t>
      </w:r>
      <w:hyperlink w:history="1" r:id="rId_wq5h8lxe-zcez_f3thoe">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развития государственно-частного партнерства в Кыргызской Республике на 2016-2021 годы;</w:t>
      </w:r>
    </w:p>
    <w:p>
      <w:pPr>
        <w:spacing w:after="60"/>
        <w:ind w:firstLine="567"/>
        <w:jc w:val="both"/>
      </w:pPr>
      <w:r>
        <w:rPr>
          <w:rFonts w:ascii="Arial" w:cs="Arial" w:eastAsia="Arial" w:hAnsi="Arial"/>
          <w:sz w:val="24"/>
          <w:szCs w:val="24"/>
        </w:rPr>
        <w:t xml:space="preserve">- развитие приграничной торговли, сдерживаемой ранее наличием таможенного контроля, которая будет способствовать созданию новых рабочих мест, увеличению денежных доходов населения, улучшению транспортной, жилищной, социальной инфраструктуры на местах;</w:t>
      </w:r>
    </w:p>
    <w:p>
      <w:pPr>
        <w:spacing w:after="60"/>
        <w:ind w:firstLine="567"/>
        <w:jc w:val="both"/>
      </w:pPr>
      <w:r>
        <w:rPr>
          <w:rFonts w:ascii="Arial" w:cs="Arial" w:eastAsia="Arial" w:hAnsi="Arial"/>
          <w:sz w:val="24"/>
          <w:szCs w:val="24"/>
        </w:rPr>
        <w:t xml:space="preserve">- свободное передвижение труда и капитала.</w:t>
      </w:r>
    </w:p>
    <w:p>
      <w:pPr>
        <w:spacing w:after="60"/>
        <w:ind w:firstLine="567"/>
        <w:jc w:val="both"/>
      </w:pPr>
      <w:r>
        <w:rPr>
          <w:rFonts w:ascii="Arial" w:cs="Arial" w:eastAsia="Arial" w:hAnsi="Arial"/>
          <w:sz w:val="24"/>
          <w:szCs w:val="24"/>
        </w:rPr>
        <w:t xml:space="preserve">К внешним и внутренним рискам, которые могут оказать воздействие на рост ВВП в 2018-2020 годах, относятся:</w:t>
      </w:r>
    </w:p>
    <w:p>
      <w:pPr>
        <w:spacing w:after="60"/>
        <w:ind w:firstLine="567"/>
        <w:jc w:val="both"/>
      </w:pPr>
      <w:r>
        <w:rPr>
          <w:rFonts w:ascii="Arial" w:cs="Arial" w:eastAsia="Arial" w:hAnsi="Arial"/>
          <w:sz w:val="24"/>
          <w:szCs w:val="24"/>
        </w:rPr>
        <w:t xml:space="preserve">- зависимость экономики страны от мировых цен на золото, энергоносители и другие сырьевые ресурсы;</w:t>
      </w:r>
    </w:p>
    <w:p>
      <w:pPr>
        <w:spacing w:after="60"/>
        <w:ind w:firstLine="567"/>
        <w:jc w:val="both"/>
      </w:pPr>
      <w:r>
        <w:rPr>
          <w:rFonts w:ascii="Arial" w:cs="Arial" w:eastAsia="Arial" w:hAnsi="Arial"/>
          <w:sz w:val="24"/>
          <w:szCs w:val="24"/>
        </w:rPr>
        <w:t xml:space="preserve">- рост издержек производства и сокращение конкурентоспособности для секторов экономики с высоким удельным весом импортируемых материалов из-за возможного повышения цен, слабой инфраструктуры, качества продукции и выполнения требований технических регламентов ЕАЭС;</w:t>
      </w:r>
    </w:p>
    <w:p>
      <w:pPr>
        <w:spacing w:after="60"/>
        <w:ind w:firstLine="567"/>
        <w:jc w:val="both"/>
      </w:pPr>
      <w:r>
        <w:rPr>
          <w:rFonts w:ascii="Arial" w:cs="Arial" w:eastAsia="Arial" w:hAnsi="Arial"/>
          <w:sz w:val="24"/>
          <w:szCs w:val="24"/>
        </w:rPr>
        <w:t xml:space="preserve">- риск сохранения отдельных таможенных барьеров, задержка открытия ветеринарных постов, неполный учет движения товаров в связи с открытием границ и так далее;</w:t>
      </w:r>
    </w:p>
    <w:p>
      <w:pPr>
        <w:spacing w:after="60"/>
        <w:ind w:firstLine="567"/>
        <w:jc w:val="both"/>
      </w:pPr>
      <w:r>
        <w:rPr>
          <w:rFonts w:ascii="Arial" w:cs="Arial" w:eastAsia="Arial" w:hAnsi="Arial"/>
          <w:sz w:val="24"/>
          <w:szCs w:val="24"/>
        </w:rPr>
        <w:t xml:space="preserve">- рост стоимости импорта на основные продовольственные товары и энергоресурсы на фоне волатильности на валютном рынке обусловит дополнительное инфляционное давление на экономику;</w:t>
      </w:r>
    </w:p>
    <w:p>
      <w:pPr>
        <w:spacing w:after="60"/>
        <w:ind w:firstLine="567"/>
        <w:jc w:val="both"/>
      </w:pPr>
      <w:r>
        <w:rPr>
          <w:rFonts w:ascii="Arial" w:cs="Arial" w:eastAsia="Arial" w:hAnsi="Arial"/>
          <w:sz w:val="24"/>
          <w:szCs w:val="24"/>
        </w:rPr>
        <w:t xml:space="preserve">- недиверсифицированность экономики: высокая зависимость промышленного сектора от результатов деятельности предприятий по разработке месторождения Кумтор;</w:t>
      </w:r>
    </w:p>
    <w:p>
      <w:pPr>
        <w:spacing w:after="60"/>
        <w:ind w:firstLine="567"/>
        <w:jc w:val="both"/>
      </w:pPr>
      <w:r>
        <w:rPr>
          <w:rFonts w:ascii="Arial" w:cs="Arial" w:eastAsia="Arial" w:hAnsi="Arial"/>
          <w:sz w:val="24"/>
          <w:szCs w:val="24"/>
        </w:rPr>
        <w:t xml:space="preserve">- зависимость внутреннего рынка от импорта продовольственной группы товаров (мука, растительное масло, сахар, крупы и т.д.), ГСМ;</w:t>
      </w:r>
    </w:p>
    <w:p>
      <w:pPr>
        <w:spacing w:after="60"/>
        <w:ind w:firstLine="567"/>
        <w:jc w:val="both"/>
      </w:pPr>
      <w:r>
        <w:rPr>
          <w:rFonts w:ascii="Arial" w:cs="Arial" w:eastAsia="Arial" w:hAnsi="Arial"/>
          <w:sz w:val="24"/>
          <w:szCs w:val="24"/>
        </w:rPr>
        <w:t xml:space="preserve">- природно-климатический фактор, который может оказать негативное воздействие на развитие сельского хозяйства и энергетического сектора;</w:t>
      </w:r>
    </w:p>
    <w:p>
      <w:pPr>
        <w:spacing w:after="60"/>
        <w:ind w:firstLine="567"/>
        <w:jc w:val="both"/>
      </w:pPr>
      <w:r>
        <w:rPr>
          <w:rFonts w:ascii="Arial" w:cs="Arial" w:eastAsia="Arial" w:hAnsi="Arial"/>
          <w:sz w:val="24"/>
          <w:szCs w:val="24"/>
        </w:rPr>
        <w:t xml:space="preserve">- открытость экономики, в значительной степени подверженной влиянию внешних шоков.</w:t>
      </w:r>
    </w:p>
    <w:p>
      <w:pPr>
        <w:spacing w:after="60"/>
        <w:ind w:firstLine="567"/>
        <w:jc w:val="both"/>
      </w:pPr>
      <w:r>
        <w:rPr>
          <w:rFonts w:ascii="Arial" w:cs="Arial" w:eastAsia="Arial" w:hAnsi="Arial"/>
          <w:sz w:val="24"/>
          <w:szCs w:val="24"/>
        </w:rPr>
        <w:t xml:space="preserve">В среднесрочном периоде предполагается продолжение проведения согласованной денежно-кредитной и бюджетно-налоговой политики, направленной на укрепление тенденций макроэкономической стабильности, что приведет к удержанию темпов инфляции на уровне 4,5% в 2020 году (в % к декабрю предыдущего года). Стабильный уровень цен является необходимым условием макроэкономической стабильности, достижение которой представляется неотъемлемым фактором экономического роста в Кыргызской Республике.</w:t>
      </w:r>
    </w:p>
    <w:p>
      <w:pPr>
        <w:spacing w:after="60"/>
        <w:ind w:firstLine="567"/>
        <w:jc w:val="both"/>
      </w:pPr>
      <w:r>
        <w:rPr>
          <w:rFonts w:ascii="Arial" w:cs="Arial" w:eastAsia="Arial" w:hAnsi="Arial"/>
          <w:sz w:val="24"/>
          <w:szCs w:val="24"/>
        </w:rPr>
        <w:t xml:space="preserve">В экономике среднегодовой рост реального ВВП, прогнозируемый на уровне 4,5%, будет обусловлен устойчивым ростом во всех секторах экономики.</w:t>
      </w:r>
    </w:p>
    <w:p>
      <w:pPr>
        <w:spacing w:after="240" w:before="240"/>
        <w:ind w:firstLine="567"/>
        <w:jc w:val="right"/>
      </w:pPr>
      <w:r>
        <w:rPr>
          <w:rFonts w:ascii="Arial" w:cs="Arial" w:eastAsia="Arial" w:hAnsi="Arial"/>
          <w:sz w:val="24"/>
          <w:szCs w:val="24"/>
        </w:rPr>
        <w:t xml:space="preserve">Таблица 3</w:t>
      </w:r>
    </w:p>
    <w:p>
      <w:pPr>
        <w:spacing w:after="240" w:before="200"/>
        <w:jc w:val="center"/>
      </w:pPr>
      <w:r>
        <w:rPr>
          <w:rFonts w:ascii="Arial" w:cs="Arial" w:eastAsia="Arial" w:hAnsi="Arial"/>
          <w:b/>
          <w:bCs/>
          <w:sz w:val="32"/>
          <w:szCs w:val="32"/>
        </w:rPr>
        <w:t xml:space="preserve">Структура производства и темпы роста реального ВВП, 2017-2020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23"/>
        <w:gridCol w:w="1063"/>
        <w:gridCol w:w="1158"/>
        <w:gridCol w:w="1158"/>
        <w:gridCol w:w="1158"/>
        <w:gridCol w:w="1617"/>
      </w:tblGrid>
      <w:tr>
        <w:tc>
          <w:tcPr>
            <w:tcW w:type="dxa" w:w="40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ожид.</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16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2018-2020 гг.</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в текущих ценах (млн. сом)</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494063,1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538134,8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589873,1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648480,1</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по секторам (%)</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Строительство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50,9</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Чистые налоги на продукты и импорт</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роста ВВП (%)</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без учета Кумтора</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Темпы реального прироста выпуска валовой продукции по отраслям (%)</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Сельское хозяйство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Промышленность</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Строительство</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40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Услуги</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1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16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r>
    </w:tbl>
    <w:p>
      <w:pPr>
        <w:spacing w:after="60" w:before="120"/>
        <w:ind w:firstLine="567"/>
        <w:jc w:val="both"/>
      </w:pPr>
      <w:r>
        <w:rPr>
          <w:rFonts w:ascii="Arial" w:cs="Arial" w:eastAsia="Arial" w:hAnsi="Arial"/>
          <w:sz w:val="24"/>
          <w:szCs w:val="24"/>
        </w:rPr>
        <w:t xml:space="preserve">В 2018-2020 годах темпы роста промышленной продукции (без учета стоимости переработанного давальческого сырья, с учетом покупной электроэнергии) прогнозируются в среднем за год на уровне 5,1%, которые будут обеспечены за счет увеличения объемов производства в добыче полезных ископаемых на 9,3%, энергетике - на 3,3% и в обрабатывающем производстве - на 5,2%, в том числе за счет производства продуктов и табачных изделий в среднем - на 3,9%, основных металлов и готовых металлических изделий - на 5,0%, текстильного производства - на 4,2%, производства кокса и очищенных нефтепродуктов - на 15,1%. Без предприятий по разработке месторождения Кумтор темп роста прогнозируется в среднем на уровне 7,8%.</w:t>
      </w:r>
    </w:p>
    <w:p>
      <w:pPr>
        <w:spacing w:after="60"/>
        <w:ind w:firstLine="567"/>
        <w:jc w:val="both"/>
      </w:pPr>
      <w:r>
        <w:rPr>
          <w:rFonts w:ascii="Arial" w:cs="Arial" w:eastAsia="Arial" w:hAnsi="Arial"/>
          <w:sz w:val="24"/>
          <w:szCs w:val="24"/>
        </w:rPr>
        <w:t xml:space="preserve">Развитие промышленности характеризуется значительными колебаниями темпов роста. Во многом эти колебания обусловлены высокой зависимостью сектора от работы предприятий, разрабатывающих месторождение Кумтор (доля в промышленности около 40,0%).</w:t>
      </w:r>
    </w:p>
    <w:p>
      <w:pPr>
        <w:spacing w:after="60"/>
        <w:ind w:firstLine="567"/>
        <w:jc w:val="both"/>
      </w:pPr>
      <w:r>
        <w:rPr>
          <w:rFonts w:ascii="Arial" w:cs="Arial" w:eastAsia="Arial" w:hAnsi="Arial"/>
          <w:sz w:val="24"/>
          <w:szCs w:val="24"/>
        </w:rPr>
        <w:t xml:space="preserve">Прогноз развития промышленности на 2018-2020 годы подготовлен с учетом следующих основных факторов и предпосылок:</w:t>
      </w:r>
    </w:p>
    <w:p>
      <w:pPr>
        <w:spacing w:after="60"/>
        <w:ind w:firstLine="567"/>
        <w:jc w:val="both"/>
      </w:pPr>
      <w:r>
        <w:rPr>
          <w:rFonts w:ascii="Arial" w:cs="Arial" w:eastAsia="Arial" w:hAnsi="Arial"/>
          <w:sz w:val="24"/>
          <w:szCs w:val="24"/>
        </w:rPr>
        <w:t xml:space="preserve">- реализация крупных инвестиционных проектов в энергетике;</w:t>
      </w:r>
    </w:p>
    <w:p>
      <w:pPr>
        <w:spacing w:after="60"/>
        <w:ind w:firstLine="567"/>
        <w:jc w:val="both"/>
      </w:pPr>
      <w:r>
        <w:rPr>
          <w:rFonts w:ascii="Arial" w:cs="Arial" w:eastAsia="Arial" w:hAnsi="Arial"/>
          <w:sz w:val="24"/>
          <w:szCs w:val="24"/>
        </w:rPr>
        <w:t xml:space="preserve">- расчеты и предполагаемые ресурсы для разработки на месторождении Кумтор, где прогнозируется снижение объемов добычи, обусловленное выходом на горизонты с меньшим содержанием золота в руде;</w:t>
      </w:r>
    </w:p>
    <w:p>
      <w:pPr>
        <w:spacing w:after="60"/>
        <w:ind w:firstLine="567"/>
        <w:jc w:val="both"/>
      </w:pPr>
      <w:r>
        <w:rPr>
          <w:rFonts w:ascii="Arial" w:cs="Arial" w:eastAsia="Arial" w:hAnsi="Arial"/>
          <w:sz w:val="24"/>
          <w:szCs w:val="24"/>
        </w:rPr>
        <w:t xml:space="preserve">- наращивание объемов добычи руды на месторождениях Бозымчак и Талды-Булак-Левобережный, Иштамберди, Караказык и Жамгыр, производства на введенных нефтеперерабатывающих предприятиях и ввод в эксплуатацию месторождений Джеруй и Куру-Тегерек;</w:t>
      </w:r>
    </w:p>
    <w:p>
      <w:pPr>
        <w:spacing w:after="60"/>
        <w:ind w:firstLine="567"/>
        <w:jc w:val="both"/>
      </w:pPr>
      <w:r>
        <w:rPr>
          <w:rFonts w:ascii="Arial" w:cs="Arial" w:eastAsia="Arial" w:hAnsi="Arial"/>
          <w:sz w:val="24"/>
          <w:szCs w:val="24"/>
        </w:rPr>
        <w:t xml:space="preserve">- реальные перспективы развития угольной промышленности страны на коммерческой основе как малыми, так и крупными горнопромышленными компаниями в основном за счет открытого способа отработки;</w:t>
      </w:r>
    </w:p>
    <w:p>
      <w:pPr>
        <w:spacing w:after="60"/>
        <w:ind w:firstLine="567"/>
        <w:jc w:val="both"/>
      </w:pPr>
      <w:r>
        <w:rPr>
          <w:rFonts w:ascii="Arial" w:cs="Arial" w:eastAsia="Arial" w:hAnsi="Arial"/>
          <w:sz w:val="24"/>
          <w:szCs w:val="24"/>
        </w:rPr>
        <w:t xml:space="preserve">- низкий уровень диверсификации производства (удельный вес 6-ти ключевых отраслей промышленности, без энергетики, составляет в среднем чуть более 70,0%, а на оставшиеся 14 отраслей приходится в среднем 30,0% промышленного производства);</w:t>
      </w:r>
    </w:p>
    <w:p>
      <w:pPr>
        <w:spacing w:after="60"/>
        <w:ind w:firstLine="567"/>
        <w:jc w:val="both"/>
      </w:pPr>
      <w:r>
        <w:rPr>
          <w:rFonts w:ascii="Arial" w:cs="Arial" w:eastAsia="Arial" w:hAnsi="Arial"/>
          <w:sz w:val="24"/>
          <w:szCs w:val="24"/>
        </w:rPr>
        <w:t xml:space="preserve">- ограниченный доступ к рынкам сбыта товаров чувствительных отраслей в условиях ЕАЭС;</w:t>
      </w:r>
    </w:p>
    <w:p>
      <w:pPr>
        <w:spacing w:after="60"/>
        <w:ind w:firstLine="567"/>
        <w:jc w:val="both"/>
      </w:pPr>
      <w:r>
        <w:rPr>
          <w:rFonts w:ascii="Arial" w:cs="Arial" w:eastAsia="Arial" w:hAnsi="Arial"/>
          <w:sz w:val="24"/>
          <w:szCs w:val="24"/>
        </w:rPr>
        <w:t xml:space="preserve">- высокая зависимость от импорта сырья и комплектующих;</w:t>
      </w:r>
    </w:p>
    <w:p>
      <w:pPr>
        <w:spacing w:after="60"/>
        <w:ind w:firstLine="567"/>
        <w:jc w:val="both"/>
      </w:pPr>
      <w:r>
        <w:rPr>
          <w:rFonts w:ascii="Arial" w:cs="Arial" w:eastAsia="Arial" w:hAnsi="Arial"/>
          <w:sz w:val="24"/>
          <w:szCs w:val="24"/>
        </w:rPr>
        <w:t xml:space="preserve">- волатильность цен на золото, сурьмы, ртуть и др.</w:t>
      </w:r>
    </w:p>
    <w:p>
      <w:pPr>
        <w:spacing w:after="60"/>
        <w:ind w:firstLine="567"/>
        <w:jc w:val="both"/>
      </w:pPr>
      <w:r>
        <w:rPr>
          <w:rFonts w:ascii="Arial" w:cs="Arial" w:eastAsia="Arial" w:hAnsi="Arial"/>
          <w:sz w:val="24"/>
          <w:szCs w:val="24"/>
        </w:rPr>
        <w:t xml:space="preserve">В сельском хозяйстве среднегодовой темп роста прогнозируется на уровне 3,1% за счет:</w:t>
      </w:r>
    </w:p>
    <w:p>
      <w:pPr>
        <w:spacing w:after="60"/>
        <w:ind w:firstLine="567"/>
        <w:jc w:val="both"/>
      </w:pPr>
      <w:r>
        <w:rPr>
          <w:rFonts w:ascii="Arial" w:cs="Arial" w:eastAsia="Arial" w:hAnsi="Arial"/>
          <w:sz w:val="24"/>
          <w:szCs w:val="24"/>
        </w:rPr>
        <w:t xml:space="preserve">- сокращения неиспользованных пахотных земель;</w:t>
      </w:r>
    </w:p>
    <w:p>
      <w:pPr>
        <w:spacing w:after="60"/>
        <w:ind w:firstLine="567"/>
        <w:jc w:val="both"/>
      </w:pPr>
      <w:r>
        <w:rPr>
          <w:rFonts w:ascii="Arial" w:cs="Arial" w:eastAsia="Arial" w:hAnsi="Arial"/>
          <w:sz w:val="24"/>
          <w:szCs w:val="24"/>
        </w:rPr>
        <w:t xml:space="preserve">- восстановления почвенного плодородия земель сельскохозяйственного назначения и проведения комплекса защитных мероприятий против основных особо опасных вредителей, болезней и сорняков;</w:t>
      </w:r>
    </w:p>
    <w:p>
      <w:pPr>
        <w:spacing w:after="60"/>
        <w:ind w:firstLine="567"/>
        <w:jc w:val="both"/>
      </w:pPr>
      <w:r>
        <w:rPr>
          <w:rFonts w:ascii="Arial" w:cs="Arial" w:eastAsia="Arial" w:hAnsi="Arial"/>
          <w:sz w:val="24"/>
          <w:szCs w:val="24"/>
        </w:rPr>
        <w:t xml:space="preserve">- активного использования систем капельного орошения;</w:t>
      </w:r>
    </w:p>
    <w:p>
      <w:pPr>
        <w:spacing w:after="60"/>
        <w:ind w:firstLine="567"/>
        <w:jc w:val="both"/>
      </w:pPr>
      <w:r>
        <w:rPr>
          <w:rFonts w:ascii="Arial" w:cs="Arial" w:eastAsia="Arial" w:hAnsi="Arial"/>
          <w:sz w:val="24"/>
          <w:szCs w:val="24"/>
        </w:rPr>
        <w:t xml:space="preserve">- увеличения количества тепличных хозяйств по всей республике;</w:t>
      </w:r>
    </w:p>
    <w:p>
      <w:pPr>
        <w:spacing w:after="60"/>
        <w:ind w:firstLine="567"/>
        <w:jc w:val="both"/>
      </w:pPr>
      <w:r>
        <w:rPr>
          <w:rFonts w:ascii="Arial" w:cs="Arial" w:eastAsia="Arial" w:hAnsi="Arial"/>
          <w:sz w:val="24"/>
          <w:szCs w:val="24"/>
        </w:rPr>
        <w:t xml:space="preserve">- оптимизации структуры посевных площадей, улучшения сортов семян, обновления машинно-тракторного парка;</w:t>
      </w:r>
    </w:p>
    <w:p>
      <w:pPr>
        <w:spacing w:after="60"/>
        <w:ind w:firstLine="567"/>
        <w:jc w:val="both"/>
      </w:pPr>
      <w:r>
        <w:rPr>
          <w:rFonts w:ascii="Arial" w:cs="Arial" w:eastAsia="Arial" w:hAnsi="Arial"/>
          <w:sz w:val="24"/>
          <w:szCs w:val="24"/>
        </w:rPr>
        <w:t xml:space="preserve">- снятия фитосанитарного контроля на кыргызско-казахстанском участке границы;</w:t>
      </w:r>
    </w:p>
    <w:p>
      <w:pPr>
        <w:spacing w:after="60"/>
        <w:ind w:firstLine="567"/>
        <w:jc w:val="both"/>
      </w:pPr>
      <w:r>
        <w:rPr>
          <w:rFonts w:ascii="Arial" w:cs="Arial" w:eastAsia="Arial" w:hAnsi="Arial"/>
          <w:sz w:val="24"/>
          <w:szCs w:val="24"/>
        </w:rPr>
        <w:t xml:space="preserve">- продолжения работы над увеличением поголовья скота и других видов сельскохозяйственных животных, учитывая спрос Российской Федерации и Республики Казахстан на мясомолочную продукцию.</w:t>
      </w:r>
    </w:p>
    <w:p>
      <w:pPr>
        <w:spacing w:after="60"/>
        <w:ind w:firstLine="567"/>
        <w:jc w:val="both"/>
      </w:pPr>
      <w:r>
        <w:rPr>
          <w:rFonts w:ascii="Arial" w:cs="Arial" w:eastAsia="Arial" w:hAnsi="Arial"/>
          <w:sz w:val="24"/>
          <w:szCs w:val="24"/>
        </w:rPr>
        <w:t xml:space="preserve">В среднесрочном периоде прогнозируется увеличение посевной площади и урожайности хлопка, масличных культур, сахарной свеклы, овощей, что будет способствовать среднегодовому росту продукции растениеводства на уровне 3,3%.</w:t>
      </w:r>
    </w:p>
    <w:p>
      <w:pPr>
        <w:spacing w:after="60"/>
        <w:ind w:firstLine="567"/>
        <w:jc w:val="both"/>
      </w:pPr>
      <w:r>
        <w:rPr>
          <w:rFonts w:ascii="Arial" w:cs="Arial" w:eastAsia="Arial" w:hAnsi="Arial"/>
          <w:sz w:val="24"/>
          <w:szCs w:val="24"/>
        </w:rPr>
        <w:t xml:space="preserve">В животноводстве среднегодовой темп роста на уровне 2,8% будет достигнут в основном за счет увеличения поголовья скота и повышения селекционно-племенной работы.</w:t>
      </w:r>
    </w:p>
    <w:p>
      <w:pPr>
        <w:spacing w:after="60"/>
        <w:ind w:firstLine="567"/>
        <w:jc w:val="both"/>
      </w:pPr>
      <w:r>
        <w:rPr>
          <w:rFonts w:ascii="Arial" w:cs="Arial" w:eastAsia="Arial" w:hAnsi="Arial"/>
          <w:sz w:val="24"/>
          <w:szCs w:val="24"/>
        </w:rPr>
        <w:t xml:space="preserve">В сфере услуг в среднесрочной перспективе объемы валового выпуска услуг прогнозируются в среднем в год на уровне 3,9% в основном за счет роста услуг оптовой и розничной торговли, транспортной деятельности и хранения грузов, информации и связи, гостиниц и ресторанов, финансового посредничества и страхования.</w:t>
      </w:r>
    </w:p>
    <w:p>
      <w:pPr>
        <w:spacing w:after="60"/>
        <w:ind w:firstLine="567"/>
        <w:jc w:val="both"/>
      </w:pPr>
      <w:r>
        <w:rPr>
          <w:rFonts w:ascii="Arial" w:cs="Arial" w:eastAsia="Arial" w:hAnsi="Arial"/>
          <w:sz w:val="24"/>
          <w:szCs w:val="24"/>
        </w:rPr>
        <w:t xml:space="preserve">Развитие сектора услуг будет обеспечено за счет улучшения потребительского спроса, обусловленного ростом реальных денежных доходов населения, восстановления экономик стран основных торговых партнеров республики.</w:t>
      </w:r>
    </w:p>
    <w:p>
      <w:pPr>
        <w:spacing w:after="60"/>
        <w:ind w:firstLine="567"/>
        <w:jc w:val="both"/>
      </w:pPr>
      <w:r>
        <w:rPr>
          <w:rFonts w:ascii="Arial" w:cs="Arial" w:eastAsia="Arial" w:hAnsi="Arial"/>
          <w:sz w:val="24"/>
          <w:szCs w:val="24"/>
        </w:rPr>
        <w:t xml:space="preserve">В структуре услуг оптовая и розничная торговля, ремонт автомобилей и мотоциклов будут развиваться умеренными темпами (среднегодовой темп роста составит 6,9%). Приоритетными направлениями развития будут: стимулирование внутреннего спроса; полная адаптация экспортного потенциала республики к потребностям внешних рынков, в частности государств-членов ЕАЭС; дальнейшее совершенствование системы регулирования предпринимательской деятельности.</w:t>
      </w:r>
    </w:p>
    <w:p>
      <w:pPr>
        <w:spacing w:after="60"/>
        <w:ind w:firstLine="567"/>
        <w:jc w:val="both"/>
      </w:pPr>
      <w:r>
        <w:rPr>
          <w:rFonts w:ascii="Arial" w:cs="Arial" w:eastAsia="Arial" w:hAnsi="Arial"/>
          <w:sz w:val="24"/>
          <w:szCs w:val="24"/>
        </w:rPr>
        <w:t xml:space="preserve">В области услуг транспортной деятельности и хранения грузов среднегодовой темп роста составит 2,5%, информации и связи - 1,2%.</w:t>
      </w:r>
    </w:p>
    <w:p>
      <w:pPr>
        <w:spacing w:after="60"/>
        <w:ind w:firstLine="567"/>
        <w:jc w:val="both"/>
      </w:pPr>
      <w:r>
        <w:rPr>
          <w:rFonts w:ascii="Arial" w:cs="Arial" w:eastAsia="Arial" w:hAnsi="Arial"/>
          <w:sz w:val="24"/>
          <w:szCs w:val="24"/>
        </w:rPr>
        <w:t xml:space="preserve">Учитывая, что основным видом транспорта, используемого в республике, является автомобильный транспорт, основными приоритетами в среднесрочной перспективе будут: увеличение грузовых перевозок за счет применения унифицированных тарифов в рамках ЕАЭС, грузовых и пассажирских перевозок за счет улучшения автотранспортной системы страны, строительства новых и модернизации существующих дорог, расширения географии полетов.</w:t>
      </w:r>
    </w:p>
    <w:p>
      <w:pPr>
        <w:spacing w:after="60"/>
        <w:ind w:firstLine="567"/>
        <w:jc w:val="both"/>
      </w:pPr>
      <w:r>
        <w:rPr>
          <w:rFonts w:ascii="Arial" w:cs="Arial" w:eastAsia="Arial" w:hAnsi="Arial"/>
          <w:sz w:val="24"/>
          <w:szCs w:val="24"/>
        </w:rPr>
        <w:t xml:space="preserve">Ожидается увеличение объема услуг гостиниц и ресторанов в среднем за год на 9,2% за счет увеличения сети предоставляемых услуг и туристического потока.</w:t>
      </w:r>
    </w:p>
    <w:p>
      <w:pPr>
        <w:spacing w:after="60"/>
        <w:ind w:firstLine="567"/>
        <w:jc w:val="both"/>
      </w:pPr>
      <w:r>
        <w:rPr>
          <w:rFonts w:ascii="Arial" w:cs="Arial" w:eastAsia="Arial" w:hAnsi="Arial"/>
          <w:sz w:val="24"/>
          <w:szCs w:val="24"/>
        </w:rPr>
        <w:t xml:space="preserve">В сфере туризма будет продолжена работа по реализации мероприятий </w:t>
      </w:r>
      <w:hyperlink w:history="1" r:id="rIdluqjs8cuwqdg9ebsdsrbk">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по развитию сферы туризма до 2020 года. Основные усилия будут направлены на повышение узнаваемости Кыргызстана как страны туризма на традиционных и потенциальных туристских рынках, улучшение туристической инфраструктуры, инновационное развитие туристических услуг, повышение уровня предоставления услуг в регионах, а также охрану окружающей среды.</w:t>
      </w:r>
    </w:p>
    <w:p>
      <w:pPr>
        <w:spacing w:after="60"/>
        <w:ind w:firstLine="567"/>
        <w:jc w:val="both"/>
      </w:pPr>
      <w:r>
        <w:rPr>
          <w:rFonts w:ascii="Arial" w:cs="Arial" w:eastAsia="Arial" w:hAnsi="Arial"/>
          <w:sz w:val="24"/>
          <w:szCs w:val="24"/>
        </w:rPr>
        <w:t xml:space="preserve">В строительстве среднегодовой темп реального роста прогнозируется на уровне 10,5%. Развитие строительного сектора экономики остается одним из значимых направлений, обеспечивающих устойчивый рост национальной экономики в среднесрочной перспективе за счет реализации крупных инвестиционных проектов.</w:t>
      </w:r>
    </w:p>
    <w:p>
      <w:pPr>
        <w:spacing w:after="60"/>
        <w:ind w:firstLine="567"/>
        <w:jc w:val="both"/>
      </w:pPr>
      <w:r>
        <w:rPr>
          <w:rFonts w:ascii="Arial" w:cs="Arial" w:eastAsia="Arial" w:hAnsi="Arial"/>
          <w:sz w:val="24"/>
          <w:szCs w:val="24"/>
        </w:rPr>
        <w:t xml:space="preserve">Приоритетными направлениями в строительстве остаются объекты строительства индивидуального жилья; объекты транспортной магистрали и энергетики (работы по строительству линий электропередачи); объекты сельского хозяйства (ирригационные сооружения).</w:t>
      </w:r>
    </w:p>
    <w:p>
      <w:pPr>
        <w:spacing w:after="60"/>
        <w:ind w:firstLine="567"/>
        <w:jc w:val="both"/>
      </w:pPr>
      <w:r>
        <w:rPr>
          <w:rFonts w:ascii="Arial" w:cs="Arial" w:eastAsia="Arial" w:hAnsi="Arial"/>
          <w:sz w:val="24"/>
          <w:szCs w:val="24"/>
        </w:rPr>
        <w:t xml:space="preserve">Для реализации этих направлений будут приняты такие основные меры, как создание в строительном секторе системы реализации политики и управления практикой энергоэффективности, сейсмической безопасности и экономической доступности жилья для населения; разработка механизмов введения жестких санкций за несоблюдение норм и стандартов сейсмостойкости и энергоэффективности; разработка и введение в действие учебной программы "Строительный сектор для устойчивого развития" в системе повышения квалификации специалистов государственного управления в строительстве и т.д.</w:t>
      </w:r>
    </w:p>
    <w:p>
      <w:pPr>
        <w:spacing w:after="60"/>
        <w:ind w:firstLine="567"/>
        <w:jc w:val="both"/>
      </w:pPr>
      <w:r>
        <w:rPr>
          <w:rFonts w:ascii="Arial" w:cs="Arial" w:eastAsia="Arial" w:hAnsi="Arial"/>
          <w:sz w:val="24"/>
          <w:szCs w:val="24"/>
        </w:rPr>
        <w:t xml:space="preserve">Развитие строительной отрасли окажет стимулирующее воздействие на рост производства строительных материалов, изделий и конструкций на основе местного сырья.</w:t>
      </w:r>
    </w:p>
    <w:p>
      <w:pPr>
        <w:spacing w:after="60"/>
        <w:ind w:firstLine="567"/>
        <w:jc w:val="both"/>
      </w:pPr>
      <w:r>
        <w:rPr>
          <w:rFonts w:ascii="Arial" w:cs="Arial" w:eastAsia="Arial" w:hAnsi="Arial"/>
          <w:sz w:val="24"/>
          <w:szCs w:val="24"/>
        </w:rPr>
        <w:t xml:space="preserve">Структура ВВП по использованию в 2018-2020 годах будет определяться снижением доли потребления.</w:t>
      </w:r>
    </w:p>
    <w:p>
      <w:pPr>
        <w:spacing w:after="240" w:before="240"/>
        <w:ind w:firstLine="567"/>
        <w:jc w:val="right"/>
      </w:pPr>
      <w:r>
        <w:rPr>
          <w:rFonts w:ascii="Arial" w:cs="Arial" w:eastAsia="Arial" w:hAnsi="Arial"/>
          <w:sz w:val="24"/>
          <w:szCs w:val="24"/>
        </w:rPr>
        <w:t xml:space="preserve">Таблица 4</w:t>
      </w:r>
    </w:p>
    <w:p>
      <w:pPr>
        <w:spacing w:after="240" w:before="200"/>
        <w:jc w:val="center"/>
      </w:pPr>
      <w:r>
        <w:rPr>
          <w:rFonts w:ascii="Arial" w:cs="Arial" w:eastAsia="Arial" w:hAnsi="Arial"/>
          <w:b/>
          <w:bCs/>
          <w:sz w:val="32"/>
          <w:szCs w:val="32"/>
        </w:rPr>
        <w:t xml:space="preserve">Использование ВВП, 2017-2020 годы (доля в ВВП, %)</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22"/>
        <w:gridCol w:w="890"/>
        <w:gridCol w:w="1040"/>
        <w:gridCol w:w="1040"/>
        <w:gridCol w:w="1040"/>
        <w:gridCol w:w="2746"/>
      </w:tblGrid>
      <w:tr>
        <w:tc>
          <w:tcPr>
            <w:tcW w:type="dxa" w:w="342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ожид.</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c>
          <w:tcPr>
            <w:tcW w:type="dxa" w:w="27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Средний за 2018-2020 гг.</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Потребление</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114,9</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Государственное</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Частное</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99,3</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Валовые инвестиции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Государственные инвестиции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Экспорт (товары и услуги)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29,8</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 (товары и услуги)</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84,2</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80,7</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82,4</w:t>
            </w:r>
          </w:p>
        </w:tc>
      </w:tr>
      <w:tr>
        <w:tc>
          <w:tcPr>
            <w:tcW w:type="dxa" w:w="34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Чистый экспорт товаров и услуг</w:t>
            </w:r>
          </w:p>
        </w:tc>
        <w:tc>
          <w:tcPr>
            <w:tcW w:type="dxa" w:w="8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-53,9</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-51,4</w:t>
            </w:r>
          </w:p>
        </w:tc>
        <w:tc>
          <w:tcPr>
            <w:tcW w:type="dxa" w:w="27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w:t>
            </w:r>
          </w:p>
        </w:tc>
      </w:tr>
    </w:tbl>
    <w:p>
      <w:pPr>
        <w:spacing w:after="60" w:before="120"/>
        <w:ind w:firstLine="567"/>
        <w:jc w:val="both"/>
      </w:pPr>
      <w:r>
        <w:rPr>
          <w:rFonts w:ascii="Arial" w:cs="Arial" w:eastAsia="Arial" w:hAnsi="Arial"/>
          <w:sz w:val="24"/>
          <w:szCs w:val="24"/>
        </w:rPr>
        <w:t xml:space="preserve">Доля валовых инвестиций к ВВП снизится с 38,1% в 2018 году до 37,4% в 2020 году в основном за счет государственных инвестиций (с 7,8% к ВВП в 2018 году до 6,4% к ВВП в 2020 году).</w:t>
      </w:r>
    </w:p>
    <w:p>
      <w:pPr>
        <w:spacing w:after="60"/>
        <w:ind w:firstLine="567"/>
        <w:jc w:val="both"/>
      </w:pPr>
      <w:r>
        <w:rPr>
          <w:rFonts w:ascii="Arial" w:cs="Arial" w:eastAsia="Arial" w:hAnsi="Arial"/>
          <w:sz w:val="24"/>
          <w:szCs w:val="24"/>
        </w:rPr>
        <w:t xml:space="preserve">Частные инвестиции увеличатся с 30,3% к ВВП в 2018 году до 31,0% к ВВП в 2020 году (2019 год - 31,0% к ВВП).</w:t>
      </w:r>
    </w:p>
    <w:p>
      <w:pPr>
        <w:spacing w:after="60"/>
        <w:ind w:firstLine="567"/>
        <w:jc w:val="both"/>
      </w:pPr>
      <w:r>
        <w:rPr>
          <w:rFonts w:ascii="Arial" w:cs="Arial" w:eastAsia="Arial" w:hAnsi="Arial"/>
          <w:sz w:val="24"/>
          <w:szCs w:val="24"/>
        </w:rPr>
        <w:t xml:space="preserve">Снижение удельного веса потребления к ВВП со 115,8% в 2018 году до 114,0% в 2020 году определяется снижением как доли частного потребления (с 99,8% к ВВП до 99,0% к ВВП), так и государственного потребления (с 16,1% к ВВП до 15,0% к ВВП). Темпы реального роста государственного и частного потребления будут поддерживаться в среднем на уровне 0,7% и 3,6% соответственно. Темпы роста государственного потребления сложатся с учетом реформ, направленных на оптимизацию государственного управления. Рост частного потребления будет обеспечен за счет роста денежных доходов населения (в среднем на 2,5%).</w:t>
      </w:r>
    </w:p>
    <w:p>
      <w:pPr>
        <w:spacing w:after="60"/>
        <w:ind w:firstLine="567"/>
        <w:jc w:val="both"/>
      </w:pPr>
      <w:r>
        <w:rPr>
          <w:rFonts w:ascii="Arial" w:cs="Arial" w:eastAsia="Arial" w:hAnsi="Arial"/>
          <w:sz w:val="24"/>
          <w:szCs w:val="24"/>
        </w:rPr>
        <w:t xml:space="preserve">Прогнозируется улучшение показателя чистого экспорта товаров и услуг с (-53,9% к ВВП) в 2018 году до (-51,4%) в 2020 году.</w:t>
      </w:r>
    </w:p>
    <w:p>
      <w:pPr>
        <w:spacing w:after="60"/>
        <w:ind w:firstLine="567"/>
        <w:jc w:val="both"/>
      </w:pPr>
      <w:r>
        <w:rPr>
          <w:rFonts w:ascii="Arial" w:cs="Arial" w:eastAsia="Arial" w:hAnsi="Arial"/>
          <w:sz w:val="24"/>
          <w:szCs w:val="24"/>
        </w:rPr>
        <w:t xml:space="preserve">Основной целью развития внешнеторгового оборота является формирование конкурентоспособного экспортного потенциала для устойчивого экономического роста. Для достижения поставленной цели приоритетными направлениями являются создание благоприятных условий для развития экспорта через реализацию мероприятий по использованию преимуществ от получения статуса бенефициара ВСП+ для наращивания объемов экспорта в дальнее зарубежье и поддержке экспортоориентированных предприятий.</w:t>
      </w:r>
    </w:p>
    <w:p>
      <w:pPr>
        <w:spacing w:after="60"/>
        <w:ind w:firstLine="567"/>
        <w:jc w:val="both"/>
      </w:pPr>
      <w:r>
        <w:rPr>
          <w:rFonts w:ascii="Arial" w:cs="Arial" w:eastAsia="Arial" w:hAnsi="Arial"/>
          <w:sz w:val="24"/>
          <w:szCs w:val="24"/>
        </w:rPr>
        <w:t xml:space="preserve">Основными факторами, влияющими на развитие внешнеэкономической деятельности, в 2018-2020 годах будут: преимущества членства республики в ВТО; полное функционирование в интеграционном объединении ЕАЭС; двустороннее сотрудничество на взаимовыгодной основе; возрастающее значение экспорта услуг, в том числе туристических. С учетом этих факторов внешнеторговый оборот вырастет с 5800,0 млн. долл. США в 2018 году до 6050,0 млн. долл. США в 2020 году, в том числе:</w:t>
      </w:r>
    </w:p>
    <w:p>
      <w:pPr>
        <w:spacing w:after="60"/>
        <w:ind w:firstLine="567"/>
        <w:jc w:val="both"/>
      </w:pPr>
      <w:r>
        <w:rPr>
          <w:rFonts w:ascii="Arial" w:cs="Arial" w:eastAsia="Arial" w:hAnsi="Arial"/>
          <w:sz w:val="24"/>
          <w:szCs w:val="24"/>
        </w:rPr>
        <w:t xml:space="preserve">- экспорт товаров в среднесрочной перспективе увеличится с 1650,0 млн. долл. США в 2018 году до 1750,0 млн. долл. США в 2020 году. Среднегодовой номинальный темп роста экспорта товаров за период 2018-2020 годов составит 3,0%. Рост экспорта будет обеспечен за счет роста поставок золота, овощей и фруктов, предметов одежды и одежных принадлежностей, цемента, стекла листового, хлопка-волокна;</w:t>
      </w:r>
    </w:p>
    <w:p>
      <w:pPr>
        <w:spacing w:after="60"/>
        <w:ind w:firstLine="567"/>
        <w:jc w:val="both"/>
      </w:pPr>
      <w:r>
        <w:rPr>
          <w:rFonts w:ascii="Arial" w:cs="Arial" w:eastAsia="Arial" w:hAnsi="Arial"/>
          <w:sz w:val="24"/>
          <w:szCs w:val="24"/>
        </w:rPr>
        <w:t xml:space="preserve">- импорт товаров в среднесрочной перспективе увеличится с 4150 млн. долл. США в 2018 году до 4300 млн. долл. США в 2020 году. Среднегодовой номинальный темп роста импорта товаров составит 1,6% за счет увеличения поступлений нефтепродуктов, черных металлов и изделий из них, электрических машин, оборудования и аппаратуры, пластмассы и изделий из нее, фармацевтической продукции, продовольственных товаров (включая сельхозсырье).</w:t>
      </w:r>
    </w:p>
    <w:p>
      <w:pPr>
        <w:spacing w:after="60"/>
        <w:ind w:firstLine="567"/>
        <w:jc w:val="both"/>
      </w:pPr>
      <w:r>
        <w:rPr>
          <w:rFonts w:ascii="Arial" w:cs="Arial" w:eastAsia="Arial" w:hAnsi="Arial"/>
          <w:sz w:val="24"/>
          <w:szCs w:val="24"/>
        </w:rPr>
        <w:t xml:space="preserve">В области социальной политики основными задачами на 2018-2020 годы остаются выполнение в полном объеме гарантированных социальных обязательств государства, повышение уровня жизни населения и улучшение положения социально незащищенных категорий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Основные приоритетные направления в области занятости будут продолжены в рамках реализации Программы содействия занятости населения и регулирования внутренней и внешней трудовой миграции до 2020 года.</w:t>
      </w:r>
    </w:p>
    <w:p>
      <w:pPr>
        <w:spacing w:after="60"/>
        <w:ind w:firstLine="567"/>
        <w:jc w:val="both"/>
      </w:pPr>
      <w:r>
        <w:rPr>
          <w:rFonts w:ascii="Arial" w:cs="Arial" w:eastAsia="Arial" w:hAnsi="Arial"/>
          <w:sz w:val="24"/>
          <w:szCs w:val="24"/>
        </w:rPr>
        <w:t xml:space="preserve">На данный период прогнозируется рост численности наличного населения в среднем в год на 117,6 тыс. человек, численность занятого населения ежегодно будет увеличиваться в среднем на 1,5%. ВВП на душу населения увеличится в среднем в год на 4,3% и составит 1357,4 долл. США в 2020 году.</w:t>
      </w:r>
    </w:p>
    <w:p>
      <w:pPr>
        <w:spacing w:after="60"/>
        <w:ind w:firstLine="567"/>
        <w:jc w:val="both"/>
      </w:pPr>
      <w:r>
        <w:rPr>
          <w:rFonts w:ascii="Arial" w:cs="Arial" w:eastAsia="Arial" w:hAnsi="Arial"/>
          <w:sz w:val="24"/>
          <w:szCs w:val="24"/>
        </w:rPr>
        <w:t xml:space="preserve">Реальный рост среднемесячной заработной платы в среднем прогнозируется на 1,8% и составит 18985 сомов в 2020 году. Реальный рост денежных доходов населения прогнозируется в среднем в год на уровне 2,5% и составит 414,5 млрд. сомов в 2020 году.</w:t>
      </w:r>
    </w:p>
    <w:p>
      <w:pPr>
        <w:spacing w:after="60"/>
        <w:ind w:firstLine="567"/>
        <w:jc w:val="both"/>
      </w:pPr>
      <w:r>
        <w:rPr>
          <w:rFonts w:ascii="Arial" w:cs="Arial" w:eastAsia="Arial" w:hAnsi="Arial"/>
          <w:sz w:val="24"/>
          <w:szCs w:val="24"/>
        </w:rPr>
        <w:t xml:space="preserve">Уровень бедности в среднесрочной перспективе сократится в среднем в год на 0,1 процентных пункта и составит 31,4% в 2020 году.</w:t>
      </w:r>
    </w:p>
    <w:p>
      <w:pPr>
        <w:spacing w:after="240" w:before="240"/>
        <w:ind w:firstLine="567"/>
        <w:jc w:val="right"/>
      </w:pPr>
      <w:r>
        <w:rPr>
          <w:rFonts w:ascii="Arial" w:cs="Arial" w:eastAsia="Arial" w:hAnsi="Arial"/>
          <w:sz w:val="24"/>
          <w:szCs w:val="24"/>
        </w:rPr>
        <w:t xml:space="preserve">Таблица 5</w:t>
      </w:r>
    </w:p>
    <w:p>
      <w:pPr>
        <w:spacing w:after="240" w:before="200"/>
        <w:jc w:val="center"/>
      </w:pPr>
      <w:r>
        <w:rPr>
          <w:rFonts w:ascii="Arial" w:cs="Arial" w:eastAsia="Arial" w:hAnsi="Arial"/>
          <w:b/>
          <w:bCs/>
          <w:sz w:val="32"/>
          <w:szCs w:val="32"/>
        </w:rPr>
        <w:t xml:space="preserve">Социальные показатели на 2017-2020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81"/>
        <w:gridCol w:w="944"/>
        <w:gridCol w:w="1018"/>
        <w:gridCol w:w="1018"/>
        <w:gridCol w:w="1018"/>
      </w:tblGrid>
      <w:tr>
        <w:tc>
          <w:tcPr>
            <w:tcW w:type="dxa" w:w="618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vMerge w:val="continue"/>
            <w:tcBorders>
              <w:top w:val="single" w:color="CBBF9E" w:sz="4"/>
              <w:left w:val="single" w:color="CBBF9E" w:sz="4"/>
              <w:bottom w:val="single" w:color="CBBF9E" w:sz="4"/>
              <w:right w:val="single" w:color="CBBF9E" w:sz="4"/>
            </w:tcBorders>
          </w:tcP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прогноз</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Среднегодовая численность наличного населения (тыс. чел.)</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5941,3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6059,7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6177,3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6294,1</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Бедность (в % к населению)</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31,4</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ВВП на душу населения, долл. США</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1240,3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1293,9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1357,4</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занятого населения (тыс. чел.)</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2461,0</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2497,4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2533,4</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доходы населения, млрд. сом.</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331,5</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354,9</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414,5</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Среднемесячная з/плата, сом.</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15503,2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16577,8</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17734,1</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18985,0</w:t>
            </w:r>
          </w:p>
        </w:tc>
      </w:tr>
      <w:tr>
        <w:tc>
          <w:tcPr>
            <w:tcW w:type="dxa" w:w="61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реальный темп роста (в %)</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101,7</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bl>
    <w:p>
      <w:pPr>
        <w:spacing w:after="200" w:before="200"/>
        <w:jc w:val="center"/>
      </w:pPr>
      <w:r>
        <w:rPr>
          <w:rFonts w:ascii="Arial" w:cs="Arial" w:eastAsia="Arial" w:hAnsi="Arial"/>
          <w:b/>
          <w:bCs/>
          <w:sz w:val="24"/>
          <w:szCs w:val="24"/>
        </w:rPr>
        <w:t xml:space="preserve">2.2. Политика по доходам и среднесрочный прогноз</w:t>
      </w:r>
    </w:p>
    <w:p>
      <w:pPr>
        <w:spacing w:after="60"/>
        <w:ind w:firstLine="567"/>
        <w:jc w:val="both"/>
      </w:pPr>
      <w:r>
        <w:rPr>
          <w:rFonts w:ascii="Arial" w:cs="Arial" w:eastAsia="Arial" w:hAnsi="Arial"/>
          <w:sz w:val="24"/>
          <w:szCs w:val="24"/>
        </w:rPr>
        <w:t xml:space="preserve">Доходы государственного бюджета в период 2015-2016 годов. За период 2015-2016 годов доходы бюджета характеризуются ежегодной тенденцией роста. Бюджетные доходы за рассматриваемый период увеличились со 128,3 млрд. сомов до 130,6 млрд. сомов. Прирост поступлений в 2015 году в сравнении с предыдущим годом составил 8,9 млрд. сомов, в 2016 году - 2,3 млрд. сомов.</w:t>
      </w:r>
    </w:p>
    <w:p>
      <w:pPr>
        <w:spacing w:after="60"/>
        <w:ind w:firstLine="567"/>
        <w:jc w:val="both"/>
      </w:pPr>
      <w:r>
        <w:rPr>
          <w:rFonts w:ascii="Arial" w:cs="Arial" w:eastAsia="Arial" w:hAnsi="Arial"/>
          <w:sz w:val="24"/>
          <w:szCs w:val="24"/>
        </w:rPr>
        <w:t xml:space="preserve">Значительный рост поступлений доходов бюджета в 2015 году обеспечен за счет неналоговых доходов, в то время как в 2016 году наблюдается увеличение поступлений налоговых доходов.</w:t>
      </w:r>
    </w:p>
    <w:p>
      <w:pPr>
        <w:spacing w:after="60"/>
        <w:ind w:firstLine="567"/>
        <w:jc w:val="both"/>
      </w:pPr>
      <w:r>
        <w:rPr>
          <w:rFonts w:ascii="Arial" w:cs="Arial" w:eastAsia="Arial" w:hAnsi="Arial"/>
          <w:sz w:val="24"/>
          <w:szCs w:val="24"/>
        </w:rPr>
        <w:t xml:space="preserve">Объем налоговых сборов за рассматриваемые годы увеличился с 84,7 млрд. сом до 93,8 млрд. сомов. Среднегодовой темп роста налоговых доходов составил 106,6%. В структуре бюджетных доходов доля налоговых сборов в 2016 году возросла на 5,8 процентных пункта, достигнув отметки 71,8% от общих доходов, в 2015 году этот показатель составлял 66,0%. Удельный вес налоговых доходов в объеме ВВП, увеличился на 0,8 процентных пункта, с 19,7% ВВП в 2015 году до 20,5% ВВП в 2016 году.</w:t>
      </w:r>
    </w:p>
    <w:p>
      <w:pPr>
        <w:spacing w:after="60"/>
        <w:ind w:firstLine="567"/>
        <w:jc w:val="both"/>
      </w:pPr>
      <w:r>
        <w:rPr>
          <w:rFonts w:ascii="Arial" w:cs="Arial" w:eastAsia="Arial" w:hAnsi="Arial"/>
          <w:sz w:val="24"/>
          <w:szCs w:val="24"/>
        </w:rPr>
        <w:t xml:space="preserve">В 2016 году имел место ряд отдельных факторов, которые отрицательно отразились на поступлениях налоговых доходов, такие, как:</w:t>
      </w:r>
    </w:p>
    <w:p>
      <w:pPr>
        <w:spacing w:after="60"/>
        <w:ind w:firstLine="567"/>
        <w:jc w:val="both"/>
      </w:pPr>
      <w:r>
        <w:rPr>
          <w:rFonts w:ascii="Arial" w:cs="Arial" w:eastAsia="Arial" w:hAnsi="Arial"/>
          <w:sz w:val="24"/>
          <w:szCs w:val="24"/>
        </w:rPr>
        <w:t xml:space="preserve">- изменение налогового законодательства, в части освобождения от уплаты налога с продаж, НДС импорта зерна и поставки муки;</w:t>
      </w:r>
    </w:p>
    <w:p>
      <w:pPr>
        <w:spacing w:after="60"/>
        <w:ind w:firstLine="567"/>
        <w:jc w:val="both"/>
      </w:pPr>
      <w:r>
        <w:rPr>
          <w:rFonts w:ascii="Arial" w:cs="Arial" w:eastAsia="Arial" w:hAnsi="Arial"/>
          <w:sz w:val="24"/>
          <w:szCs w:val="24"/>
        </w:rPr>
        <w:t xml:space="preserve">- снижение объемов импорта из стран-членов ЕАЭС;</w:t>
      </w:r>
    </w:p>
    <w:p>
      <w:pPr>
        <w:spacing w:after="60"/>
        <w:ind w:firstLine="567"/>
        <w:jc w:val="both"/>
      </w:pPr>
      <w:r>
        <w:rPr>
          <w:rFonts w:ascii="Arial" w:cs="Arial" w:eastAsia="Arial" w:hAnsi="Arial"/>
          <w:sz w:val="24"/>
          <w:szCs w:val="24"/>
        </w:rPr>
        <w:t xml:space="preserve">- снижение объема импорта стран-членов ЕАЭС с третьими странами.</w:t>
      </w:r>
    </w:p>
    <w:p>
      <w:pPr>
        <w:spacing w:after="60"/>
        <w:ind w:firstLine="567"/>
        <w:jc w:val="both"/>
      </w:pPr>
      <w:r>
        <w:rPr>
          <w:rFonts w:ascii="Arial" w:cs="Arial" w:eastAsia="Arial" w:hAnsi="Arial"/>
          <w:sz w:val="24"/>
          <w:szCs w:val="24"/>
        </w:rPr>
        <w:t xml:space="preserve">Неналоговые доходы за период 2015-2016 годы характеризуются неравномерностью поступлений. Если в 2015 году прирост неналоговых доходов в сравнении с предыдущим годом составил 7,5 млрд. сомов, то в 2016 году на данную сумму поступления неналоговых доходов снизились. Снижение поступлений неналоговых доходов с 34,3 млрд. сомов в 2015 году до 26,8 млрд. сомов в 2016 году в основном связано с тем, что в 2015 году были крупные поступления средств за разработку месторождения Джеруй и получение курсовой прибыли порядка 7,0 млрд. сомов.</w:t>
      </w:r>
    </w:p>
    <w:p>
      <w:pPr>
        <w:spacing w:after="60"/>
        <w:ind w:firstLine="567"/>
        <w:jc w:val="both"/>
      </w:pPr>
      <w:r>
        <w:rPr>
          <w:rFonts w:ascii="Arial" w:cs="Arial" w:eastAsia="Arial" w:hAnsi="Arial"/>
          <w:sz w:val="24"/>
          <w:szCs w:val="24"/>
        </w:rPr>
        <w:t xml:space="preserve">В объеме ВВП доля неналоговых доходов в 2016 году по сравнению с 2015 годом снизилась на 2,1 процентных пункта и составила 5,9% ВВП.</w:t>
      </w:r>
    </w:p>
    <w:p>
      <w:pPr>
        <w:spacing w:after="60"/>
        <w:ind w:firstLine="567"/>
        <w:jc w:val="both"/>
      </w:pPr>
      <w:r>
        <w:rPr>
          <w:rFonts w:ascii="Arial" w:cs="Arial" w:eastAsia="Arial" w:hAnsi="Arial"/>
          <w:sz w:val="24"/>
          <w:szCs w:val="24"/>
        </w:rPr>
        <w:t xml:space="preserve">При этом наблюдается рост объема дивидендов, начисленных на государственный пакет акций, прибыли государственных предприятий, прибыли Национального банка Кыргызской Республики, поступлений от оказания платных услуг, а также отчислений на развитие и содержание инфраструктуры местного значения.</w:t>
      </w:r>
    </w:p>
    <w:p>
      <w:pPr>
        <w:spacing w:after="60"/>
        <w:ind w:firstLine="567"/>
        <w:jc w:val="both"/>
      </w:pPr>
      <w:r>
        <w:rPr>
          <w:rFonts w:ascii="Arial" w:cs="Arial" w:eastAsia="Arial" w:hAnsi="Arial"/>
          <w:sz w:val="24"/>
          <w:szCs w:val="24"/>
        </w:rPr>
        <w:t xml:space="preserve">В период 2015-2016 годов отмечается незначительный рост поступлений полученных официальных трансфертов с 9,3 млрд. сомов до 9,9 млрд. сомов. По отношению к ВВП доля полученных официальных трансфертов в течение двух лет осталась на уровне 2,2% ВВП. В 2016 году в сравнении с 2015 годом наблюдалось снижение поступлений программных грантов и рост грантов ГИ.</w:t>
      </w:r>
    </w:p>
    <w:p>
      <w:pPr>
        <w:spacing w:after="60"/>
        <w:ind w:firstLine="567"/>
        <w:jc w:val="both"/>
      </w:pPr>
      <w:r>
        <w:rPr>
          <w:rFonts w:ascii="Arial" w:cs="Arial" w:eastAsia="Arial" w:hAnsi="Arial"/>
          <w:sz w:val="24"/>
          <w:szCs w:val="24"/>
        </w:rPr>
        <w:t xml:space="preserve">Оценка доходной части бюджета на 2017 год. В 2017 году доходы государственного бюджета в соответствии с Законом Кыргызской Республики "О республиканском бюджете Кыргызской Республики на 2017 год и прогнозе на 2018-2019 годы" планируются в объеме 140,9 млрд. сомов, или на уровне 28,5% к ВВП.</w:t>
      </w:r>
    </w:p>
    <w:p>
      <w:pPr>
        <w:spacing w:after="60"/>
        <w:ind w:firstLine="567"/>
        <w:jc w:val="both"/>
      </w:pPr>
      <w:r>
        <w:rPr>
          <w:rFonts w:ascii="Arial" w:cs="Arial" w:eastAsia="Arial" w:hAnsi="Arial"/>
          <w:sz w:val="24"/>
          <w:szCs w:val="24"/>
        </w:rPr>
        <w:t xml:space="preserve">При этом существуют следующие риски выпадения утвержденных параметров доходов государственного бюджета на 2017 год:</w:t>
      </w:r>
    </w:p>
    <w:p>
      <w:pPr>
        <w:spacing w:after="60"/>
        <w:ind w:firstLine="567"/>
        <w:jc w:val="both"/>
      </w:pPr>
      <w:r>
        <w:rPr>
          <w:rFonts w:ascii="Arial" w:cs="Arial" w:eastAsia="Arial" w:hAnsi="Arial"/>
          <w:sz w:val="24"/>
          <w:szCs w:val="24"/>
        </w:rPr>
        <w:t xml:space="preserve">- на основе расчетов Государственной налоговой службы при Правительстве Кыргызской Республики ожидается выпадение доходов республиканского бюджета в сумме 4,4 млрд. сомов;</w:t>
      </w:r>
    </w:p>
    <w:p>
      <w:pPr>
        <w:spacing w:after="60"/>
        <w:ind w:firstLine="567"/>
        <w:jc w:val="both"/>
      </w:pPr>
      <w:r>
        <w:rPr>
          <w:rFonts w:ascii="Arial" w:cs="Arial" w:eastAsia="Arial" w:hAnsi="Arial"/>
          <w:sz w:val="24"/>
          <w:szCs w:val="24"/>
        </w:rPr>
        <w:t xml:space="preserve">- ожидается выпадение по поступлениям процентов по выданным бюджетным ссудам и кредитам в сумме 0,5 млрд. сомов;</w:t>
      </w:r>
    </w:p>
    <w:p>
      <w:pPr>
        <w:spacing w:after="60"/>
        <w:ind w:firstLine="567"/>
        <w:jc w:val="both"/>
      </w:pPr>
      <w:r>
        <w:rPr>
          <w:rFonts w:ascii="Arial" w:cs="Arial" w:eastAsia="Arial" w:hAnsi="Arial"/>
          <w:sz w:val="24"/>
          <w:szCs w:val="24"/>
        </w:rPr>
        <w:t xml:space="preserve">- по данным Центрального казначейства Министерства финансов Кыргызской Республики, фактическое поступление прибыли Национального банка Кыргызской Республики, подлежащей перечислению в доходную часть бюджета, составило 2,6 млрд. сомов. В связи с этим выпадение по данному источнику составляет 0,4 млрд. сомов от утвержденного показателя в сумме 3,0 млрд. сомов.</w:t>
      </w:r>
    </w:p>
    <w:p>
      <w:pPr>
        <w:spacing w:after="60"/>
        <w:ind w:firstLine="567"/>
        <w:jc w:val="both"/>
      </w:pPr>
      <w:r>
        <w:rPr>
          <w:rFonts w:ascii="Arial" w:cs="Arial" w:eastAsia="Arial" w:hAnsi="Arial"/>
          <w:sz w:val="24"/>
          <w:szCs w:val="24"/>
        </w:rPr>
        <w:t xml:space="preserve">Оценочное выпадение по доходам на 2017 год составит порядка 5,3 млрд. сомов.</w:t>
      </w:r>
    </w:p>
    <w:p>
      <w:pPr>
        <w:spacing w:after="60"/>
        <w:ind w:firstLine="567"/>
        <w:jc w:val="both"/>
      </w:pPr>
      <w:r>
        <w:rPr>
          <w:rFonts w:ascii="Arial" w:cs="Arial" w:eastAsia="Arial" w:hAnsi="Arial"/>
          <w:sz w:val="24"/>
          <w:szCs w:val="24"/>
        </w:rPr>
        <w:t xml:space="preserve">Оценка доходов государственного бюджета на 2018-2020 годы.</w:t>
      </w:r>
    </w:p>
    <w:p>
      <w:pPr>
        <w:spacing w:after="60"/>
        <w:ind w:firstLine="567"/>
        <w:jc w:val="both"/>
      </w:pPr>
      <w:r>
        <w:rPr>
          <w:rFonts w:ascii="Arial" w:cs="Arial" w:eastAsia="Arial" w:hAnsi="Arial"/>
          <w:sz w:val="24"/>
          <w:szCs w:val="24"/>
        </w:rPr>
        <w:t xml:space="preserve">Основные направления налоговой политики на 2018-2020 годы определены </w:t>
      </w:r>
      <w:hyperlink w:history="1" r:id="rIdykr5efydgz6jnymushlhf">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фискальной политики на 2015-2020 годы, утвержденной </w:t>
      </w:r>
      <w:hyperlink w:history="1" r:id="rIdmz1zcg6h9qc4bv_dqeep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июля 2015 года № 455.</w:t>
      </w:r>
    </w:p>
    <w:p>
      <w:pPr>
        <w:spacing w:after="60"/>
        <w:ind w:firstLine="567"/>
        <w:jc w:val="both"/>
      </w:pPr>
      <w:r>
        <w:rPr>
          <w:rFonts w:ascii="Arial" w:cs="Arial" w:eastAsia="Arial" w:hAnsi="Arial"/>
          <w:sz w:val="24"/>
          <w:szCs w:val="24"/>
        </w:rPr>
        <w:t xml:space="preserve">Предусмотрены следующие меры, заложенные в Плане мероприятий по реализации </w:t>
      </w:r>
      <w:hyperlink w:history="1" r:id="rIdq6_6dvlrncudvpgi38m82">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фискальной политики Кыргызской Республики на 2015-2020 годы:</w:t>
      </w:r>
    </w:p>
    <w:p>
      <w:pPr>
        <w:spacing w:after="60"/>
        <w:ind w:firstLine="567"/>
        <w:jc w:val="both"/>
      </w:pPr>
      <w:r>
        <w:rPr>
          <w:rFonts w:ascii="Arial" w:cs="Arial" w:eastAsia="Arial" w:hAnsi="Arial"/>
          <w:sz w:val="24"/>
          <w:szCs w:val="24"/>
        </w:rPr>
        <w:t xml:space="preserve">- совершенствование администрирования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внедрение в республике нового института административного (налогового) суда;</w:t>
      </w:r>
    </w:p>
    <w:p>
      <w:pPr>
        <w:spacing w:after="60"/>
        <w:ind w:firstLine="567"/>
        <w:jc w:val="both"/>
      </w:pPr>
      <w:r>
        <w:rPr>
          <w:rFonts w:ascii="Arial" w:cs="Arial" w:eastAsia="Arial" w:hAnsi="Arial"/>
          <w:sz w:val="24"/>
          <w:szCs w:val="24"/>
        </w:rPr>
        <w:t xml:space="preserve">- внедрение механизмов оценки бонусов, основанных на рыночных изменениях цен на полезные ископаемые;</w:t>
      </w:r>
    </w:p>
    <w:p>
      <w:pPr>
        <w:spacing w:after="60"/>
        <w:ind w:firstLine="567"/>
        <w:jc w:val="both"/>
      </w:pPr>
      <w:r>
        <w:rPr>
          <w:rFonts w:ascii="Arial" w:cs="Arial" w:eastAsia="Arial" w:hAnsi="Arial"/>
          <w:sz w:val="24"/>
          <w:szCs w:val="24"/>
        </w:rPr>
        <w:t xml:space="preserve">- сближение позиций по применению налоговых механизмов и инструментов со странами-членами ЕАЭС;</w:t>
      </w:r>
    </w:p>
    <w:p>
      <w:pPr>
        <w:spacing w:after="60"/>
        <w:ind w:firstLine="567"/>
        <w:jc w:val="both"/>
      </w:pPr>
      <w:r>
        <w:rPr>
          <w:rFonts w:ascii="Arial" w:cs="Arial" w:eastAsia="Arial" w:hAnsi="Arial"/>
          <w:sz w:val="24"/>
          <w:szCs w:val="24"/>
        </w:rPr>
        <w:t xml:space="preserve">- установление критериев предоставления льгот и освобождений;</w:t>
      </w:r>
    </w:p>
    <w:p>
      <w:pPr>
        <w:spacing w:after="60"/>
        <w:ind w:firstLine="567"/>
        <w:jc w:val="both"/>
      </w:pPr>
      <w:r>
        <w:rPr>
          <w:rFonts w:ascii="Arial" w:cs="Arial" w:eastAsia="Arial" w:hAnsi="Arial"/>
          <w:sz w:val="24"/>
          <w:szCs w:val="24"/>
        </w:rPr>
        <w:t xml:space="preserve">- создание стимулов для продвижения и использования экологических технологий, оборудования и продуктов;</w:t>
      </w:r>
    </w:p>
    <w:p>
      <w:pPr>
        <w:spacing w:after="60"/>
        <w:ind w:firstLine="567"/>
        <w:jc w:val="both"/>
      </w:pPr>
      <w:r>
        <w:rPr>
          <w:rFonts w:ascii="Arial" w:cs="Arial" w:eastAsia="Arial" w:hAnsi="Arial"/>
          <w:sz w:val="24"/>
          <w:szCs w:val="24"/>
        </w:rPr>
        <w:t xml:space="preserve">- улучшение позиций Кыргызской Республики в международных рейтингах;</w:t>
      </w:r>
    </w:p>
    <w:p>
      <w:pPr>
        <w:spacing w:after="60"/>
        <w:ind w:firstLine="567"/>
        <w:jc w:val="both"/>
      </w:pPr>
      <w:r>
        <w:rPr>
          <w:rFonts w:ascii="Arial" w:cs="Arial" w:eastAsia="Arial" w:hAnsi="Arial"/>
          <w:sz w:val="24"/>
          <w:szCs w:val="24"/>
        </w:rPr>
        <w:t xml:space="preserve">- совершенствование методов и механизмов налогового администрирования;</w:t>
      </w:r>
    </w:p>
    <w:p>
      <w:pPr>
        <w:spacing w:after="60"/>
        <w:ind w:firstLine="567"/>
        <w:jc w:val="both"/>
      </w:pPr>
      <w:r>
        <w:rPr>
          <w:rFonts w:ascii="Arial" w:cs="Arial" w:eastAsia="Arial" w:hAnsi="Arial"/>
          <w:sz w:val="24"/>
          <w:szCs w:val="24"/>
        </w:rPr>
        <w:t xml:space="preserve">- продвижение проекта Концепции фискальной политики в Кыргызской Республике на 2017-2030 годы;</w:t>
      </w:r>
    </w:p>
    <w:p>
      <w:pPr>
        <w:spacing w:after="60"/>
        <w:ind w:firstLine="567"/>
        <w:jc w:val="both"/>
      </w:pPr>
      <w:r>
        <w:rPr>
          <w:rFonts w:ascii="Arial" w:cs="Arial" w:eastAsia="Arial" w:hAnsi="Arial"/>
          <w:sz w:val="24"/>
          <w:szCs w:val="24"/>
        </w:rPr>
        <w:t xml:space="preserve">- продвижение проекта новой редакции Налогового кодекса Кыргызской Республики;</w:t>
      </w:r>
    </w:p>
    <w:p>
      <w:pPr>
        <w:spacing w:after="60"/>
        <w:ind w:firstLine="567"/>
        <w:jc w:val="both"/>
      </w:pPr>
      <w:r>
        <w:rPr>
          <w:rFonts w:ascii="Arial" w:cs="Arial" w:eastAsia="Arial" w:hAnsi="Arial"/>
          <w:sz w:val="24"/>
          <w:szCs w:val="24"/>
        </w:rPr>
        <w:t xml:space="preserve">- пересмотр перечня видов деятельности, осуществляемых на основе добровольного и обязательного патента.</w:t>
      </w:r>
    </w:p>
    <w:p>
      <w:pPr>
        <w:spacing w:after="60"/>
        <w:ind w:firstLine="567"/>
        <w:jc w:val="both"/>
      </w:pPr>
      <w:r>
        <w:rPr>
          <w:rFonts w:ascii="Arial" w:cs="Arial" w:eastAsia="Arial" w:hAnsi="Arial"/>
          <w:sz w:val="24"/>
          <w:szCs w:val="24"/>
        </w:rPr>
        <w:t xml:space="preserve">В среднесрочной перспективе планируется сохранение тенденции роста поступлений в бюджет. Доходы бюджета вырастут с 151,7 млрд. сомов в 2018 году до 157,0 млрд. сомов в 2020 году. При этом их доля в ВВП в 2020 году (24,2% к ВВП) по отношению к 2018 году (28,2% к ВВП) снизится на 4,0 процентных пункта ВВП, что будет обусловлено снижением уровня налоговых доходов на 1,8% к ВВП, неналоговых доходов на 0,8% к ВВП и полученных официальных трансфертов (программные гранты и гранты ГИ) на 1,4% к ВВП.</w:t>
      </w:r>
    </w:p>
    <w:p>
      <w:pPr>
        <w:spacing w:after="60"/>
        <w:ind w:firstLine="567"/>
        <w:jc w:val="both"/>
      </w:pPr>
      <w:r>
        <w:rPr>
          <w:rFonts w:ascii="Arial" w:cs="Arial" w:eastAsia="Arial" w:hAnsi="Arial"/>
          <w:sz w:val="24"/>
          <w:szCs w:val="24"/>
        </w:rPr>
        <w:t xml:space="preserve">Повышение бюджетных доходов в среднесрочной перспективе произойдет главным образом за счет роста налоговых поступлений. Так, номинальный объем налоговых доходов увеличится с 114,8 млрд. сомов в 2018 году до 126,6 млрд. сомов в 2020 году. По отношению к ВВП налоговые доходы в среднесрочном периоде снизятся с 21,3% к ВВП в 2018 году до 19,5% к ВВП в 2020 году. Удельный вес их в общей сумме доходов бюджета увеличится с 75,7% в 2018 году до 80,7% в 2020 году.</w:t>
      </w:r>
    </w:p>
    <w:p>
      <w:pPr>
        <w:spacing w:after="60"/>
        <w:ind w:firstLine="567"/>
        <w:jc w:val="both"/>
      </w:pPr>
      <w:r>
        <w:rPr>
          <w:rFonts w:ascii="Arial" w:cs="Arial" w:eastAsia="Arial" w:hAnsi="Arial"/>
          <w:sz w:val="24"/>
          <w:szCs w:val="24"/>
        </w:rPr>
        <w:t xml:space="preserve">Поступления неналоговых доходов в период 2018-2020 годов составят в среднем 22,8 млрд. сомов. В объеме ВВП уровень неналоговых доходов снизится с 4,3% в 2018 году до 3,5% в 2020 году.</w:t>
      </w:r>
    </w:p>
    <w:p>
      <w:pPr>
        <w:spacing w:after="60"/>
        <w:ind w:firstLine="567"/>
        <w:jc w:val="both"/>
      </w:pPr>
      <w:r>
        <w:rPr>
          <w:rFonts w:ascii="Arial" w:cs="Arial" w:eastAsia="Arial" w:hAnsi="Arial"/>
          <w:sz w:val="24"/>
          <w:szCs w:val="24"/>
        </w:rPr>
        <w:t xml:space="preserve">Поступления официальных трансфертов (программные гранты и гранты ГИ) в среднесрочном периоде будут отражаться ежегодным снижением. Так, поступления официальных трансфертов снизятся с 13,9 млрд. сомов в 2018 году до 7,5 млрд. сомов в 2020 году. Доля официальных трансфертов в ВВП в 2020 году по отношению к 2018 году снизится на 1,4% к ВВП, что будет связано со снижением поступлений грантов ГИ и тем, что в 2020 году не предусмотрено поступление программных грантов.</w:t>
      </w:r>
    </w:p>
    <w:p>
      <w:pPr>
        <w:spacing w:after="200" w:before="200"/>
        <w:ind w:firstLine="567"/>
        <w:jc w:val="left"/>
      </w:pPr>
      <w:r>
        <w:rPr>
          <w:rFonts w:ascii="Arial" w:cs="Arial" w:eastAsia="Arial" w:hAnsi="Arial"/>
          <w:b/>
          <w:bCs/>
          <w:sz w:val="24"/>
          <w:szCs w:val="24"/>
        </w:rPr>
        <w:t xml:space="preserve">Рисунок 1. Динамика изменения государственных доходов</w:t>
      </w:r>
    </w:p>
    <w:p>
      <w:pPr>
        <w:spacing w:after="200" w:before="200"/>
        <w:jc w:val="center"/>
      </w:pPr>
      <w:r>
        <w:rPr>
          <w:rFonts w:ascii="Arial" w:cs="Arial" w:eastAsia="Arial" w:hAnsi="Arial"/>
          <w:b/>
          <w:bCs/>
          <w:sz w:val="24"/>
          <w:szCs w:val="24"/>
        </w:rPr>
        <w:t xml:space="preserve">3. Описание среднесрочной основы расходов</w:t>
      </w:r>
    </w:p>
    <w:p>
      <w:pPr>
        <w:spacing w:after="200" w:before="200"/>
        <w:jc w:val="center"/>
      </w:pPr>
      <w:r>
        <w:rPr>
          <w:rFonts w:ascii="Arial" w:cs="Arial" w:eastAsia="Arial" w:hAnsi="Arial"/>
          <w:b/>
          <w:bCs/>
          <w:sz w:val="24"/>
          <w:szCs w:val="24"/>
        </w:rPr>
        <w:t xml:space="preserve">3.1. Анализ отклонений фактических расходов бюджетополучателей в 2016 году от контрольных цифр в СПБ на 2016-2018 годы</w:t>
      </w:r>
    </w:p>
    <w:p>
      <w:pPr>
        <w:spacing w:after="60"/>
        <w:ind w:firstLine="567"/>
        <w:jc w:val="both"/>
      </w:pPr>
      <w:r>
        <w:rPr>
          <w:rFonts w:ascii="Arial" w:cs="Arial" w:eastAsia="Arial" w:hAnsi="Arial"/>
          <w:sz w:val="24"/>
          <w:szCs w:val="24"/>
        </w:rPr>
        <w:t xml:space="preserve">Наибольшие отклонения в 2016 году отмечались:</w:t>
      </w:r>
    </w:p>
    <w:p>
      <w:pPr>
        <w:spacing w:after="60"/>
        <w:ind w:firstLine="567"/>
        <w:jc w:val="both"/>
      </w:pPr>
      <w:r>
        <w:rPr>
          <w:rFonts w:ascii="Arial" w:cs="Arial" w:eastAsia="Arial" w:hAnsi="Arial"/>
          <w:sz w:val="24"/>
          <w:szCs w:val="24"/>
        </w:rPr>
        <w:t xml:space="preserve">в Аппарате Президента Кыргызской Республики увеличение расходов на 12,9% связано с дополнительным выделением ассигнований на приобретение фотообъективов, дополнительной внешней защиты сервера электронной почты аппаратными и программными средствами "Firewall", изготовление переносного фона с логотипом для использования на телестудии при создании тематических передач о деятельности Президента Кыргызской Республики и для резервного фонда Президента Кыргызской Республики;</w:t>
      </w:r>
    </w:p>
    <w:p>
      <w:pPr>
        <w:spacing w:after="60"/>
        <w:ind w:firstLine="567"/>
        <w:jc w:val="both"/>
      </w:pPr>
      <w:r>
        <w:rPr>
          <w:rFonts w:ascii="Arial" w:cs="Arial" w:eastAsia="Arial" w:hAnsi="Arial"/>
          <w:sz w:val="24"/>
          <w:szCs w:val="24"/>
        </w:rPr>
        <w:t xml:space="preserve">в Аппарате Правительства Кыргызской Республики увеличение расходов на 23,0% связано с дополнительным выделением ассигнований на фонд оплаты труда Аппарата Правительства Кыргызской Республики, выплату денежной компенсации проездных расходов сотрудникам Аппарата Правительства Кыргызской Республики, приобретение стульев, штор, ковровых дорожек для Овального зала Дома Правительства и копировального оборудования; на внедрение электронного документооборота в Аппарате Правительства Кыргызской Республики и для резервного фонда Правительства Кыргызской Республики;</w:t>
      </w:r>
    </w:p>
    <w:p>
      <w:pPr>
        <w:spacing w:after="60"/>
        <w:ind w:firstLine="567"/>
        <w:jc w:val="both"/>
      </w:pPr>
      <w:r>
        <w:rPr>
          <w:rFonts w:ascii="Arial" w:cs="Arial" w:eastAsia="Arial" w:hAnsi="Arial"/>
          <w:sz w:val="24"/>
          <w:szCs w:val="24"/>
        </w:rPr>
        <w:t xml:space="preserve">в Управлении делами Президента и Правительства Кыргызской Республики увеличение расходов на 104,9% связано с дополнительным выделением ассигнований на содержание Государственной резиденции "Джалал-Абад", установку автоматической пожарной сигнализации в здании Дома Правительства Кыргызской Республики, в фонд оплаты труда работников охотничьего хозяйства Управления делами Президента и Правительства Кыргызской Республики.</w:t>
      </w:r>
    </w:p>
    <w:p>
      <w:pPr>
        <w:spacing w:after="60"/>
        <w:ind w:firstLine="567"/>
        <w:jc w:val="both"/>
      </w:pPr>
      <w:r>
        <w:rPr>
          <w:rFonts w:ascii="Arial" w:cs="Arial" w:eastAsia="Arial" w:hAnsi="Arial"/>
          <w:sz w:val="24"/>
          <w:szCs w:val="24"/>
        </w:rPr>
        <w:t xml:space="preserve">Расходы государственного значения: на подготовку и проведение очередных заседаний Совета глав правительств государств-членов ШОС в Кыргызской Республике, Совета глав государств СНГ и Совета сотрудничества тюркоязычных государств в Кыргызской Республике, в том числе:</w:t>
      </w:r>
    </w:p>
    <w:p>
      <w:pPr>
        <w:spacing w:after="60"/>
        <w:ind w:firstLine="567"/>
        <w:jc w:val="both"/>
      </w:pPr>
      <w:r>
        <w:rPr>
          <w:rFonts w:ascii="Arial" w:cs="Arial" w:eastAsia="Arial" w:hAnsi="Arial"/>
          <w:sz w:val="24"/>
          <w:szCs w:val="24"/>
        </w:rPr>
        <w:t xml:space="preserve">- Государственному учреждению "Государственная резиденция Президента Кыргызской Республики № 1" при Управлении делами Президента и Правительства Кыргызской Республики на строительство нового объекта "Дом приемов";</w:t>
      </w:r>
    </w:p>
    <w:p>
      <w:pPr>
        <w:spacing w:after="60"/>
        <w:ind w:firstLine="567"/>
        <w:jc w:val="both"/>
      </w:pPr>
      <w:r>
        <w:rPr>
          <w:rFonts w:ascii="Arial" w:cs="Arial" w:eastAsia="Arial" w:hAnsi="Arial"/>
          <w:sz w:val="24"/>
          <w:szCs w:val="24"/>
        </w:rPr>
        <w:t xml:space="preserve">- Государственному предприятию "Автотранспортное объединение" при Управлении делами Президента и Правительства Кыргызской Республики на приобретение специализированных машин;</w:t>
      </w:r>
    </w:p>
    <w:p>
      <w:pPr>
        <w:spacing w:after="60"/>
        <w:ind w:firstLine="567"/>
        <w:jc w:val="both"/>
      </w:pPr>
      <w:r>
        <w:rPr>
          <w:rFonts w:ascii="Arial" w:cs="Arial" w:eastAsia="Arial" w:hAnsi="Arial"/>
          <w:sz w:val="24"/>
          <w:szCs w:val="24"/>
        </w:rPr>
        <w:t xml:space="preserve">- на подготовку и проведение очередного заседания Совета глав правительств государств-членов ШОС в Кыргызской Республике;</w:t>
      </w:r>
    </w:p>
    <w:p>
      <w:pPr>
        <w:spacing w:after="60"/>
        <w:ind w:firstLine="567"/>
        <w:jc w:val="both"/>
      </w:pPr>
      <w:r>
        <w:rPr>
          <w:rFonts w:ascii="Arial" w:cs="Arial" w:eastAsia="Arial" w:hAnsi="Arial"/>
          <w:sz w:val="24"/>
          <w:szCs w:val="24"/>
        </w:rPr>
        <w:t xml:space="preserve">- на подготовку и проведение "</w:t>
      </w:r>
      <w:r>
        <w:rPr>
          <w:rFonts w:ascii="Arial" w:cs="Arial" w:eastAsia="Arial" w:hAnsi="Arial"/>
          <w:sz w:val="24"/>
          <w:szCs w:val="24"/>
        </w:rPr>
        <w:t xml:space="preserve">II</w:t>
      </w:r>
      <w:r>
        <w:rPr>
          <w:rFonts w:ascii="Arial" w:cs="Arial" w:eastAsia="Arial" w:hAnsi="Arial"/>
          <w:sz w:val="24"/>
          <w:szCs w:val="24"/>
        </w:rPr>
        <w:t xml:space="preserve"> Всемирных Игр кочевников";</w:t>
      </w:r>
    </w:p>
    <w:p>
      <w:pPr>
        <w:spacing w:after="60"/>
        <w:ind w:firstLine="567"/>
        <w:jc w:val="both"/>
      </w:pPr>
      <w:r>
        <w:rPr>
          <w:rFonts w:ascii="Arial" w:cs="Arial" w:eastAsia="Arial" w:hAnsi="Arial"/>
          <w:sz w:val="24"/>
          <w:szCs w:val="24"/>
        </w:rPr>
        <w:t xml:space="preserve">- на организацию и проведение очередного заседания Совета глав правительств государств-членов СНГ;</w:t>
      </w:r>
    </w:p>
    <w:p>
      <w:pPr>
        <w:spacing w:after="60"/>
        <w:ind w:firstLine="567"/>
        <w:jc w:val="both"/>
      </w:pPr>
      <w:r>
        <w:rPr>
          <w:rFonts w:ascii="Arial" w:cs="Arial" w:eastAsia="Arial" w:hAnsi="Arial"/>
          <w:sz w:val="24"/>
          <w:szCs w:val="24"/>
        </w:rPr>
        <w:t xml:space="preserve">- на изготовление памятных сувениров, посвященных 1000-летию Ж.Баласагына, и другие;</w:t>
      </w:r>
    </w:p>
    <w:p>
      <w:pPr>
        <w:spacing w:after="60"/>
        <w:ind w:firstLine="567"/>
        <w:jc w:val="both"/>
      </w:pPr>
      <w:r>
        <w:rPr>
          <w:rFonts w:ascii="Arial" w:cs="Arial" w:eastAsia="Arial" w:hAnsi="Arial"/>
          <w:sz w:val="24"/>
          <w:szCs w:val="24"/>
        </w:rPr>
        <w:t xml:space="preserve">в Министерстве иностранных дел Кыргызской Республики увеличение расходов на 19,9% связано с дополнительным выделением ассигнований на закупку программного обеспечения Единой системы учета внешней миграции в Кыргызской Республике (далее - ЕСУВМ) и необходимого оборудования; проведение референдума в 2016 году; исполнение решений суда;</w:t>
      </w:r>
    </w:p>
    <w:p>
      <w:pPr>
        <w:spacing w:after="60"/>
        <w:ind w:firstLine="567"/>
        <w:jc w:val="both"/>
      </w:pPr>
      <w:r>
        <w:rPr>
          <w:rFonts w:ascii="Arial" w:cs="Arial" w:eastAsia="Arial" w:hAnsi="Arial"/>
          <w:sz w:val="24"/>
          <w:szCs w:val="24"/>
        </w:rPr>
        <w:t xml:space="preserve">в Государственной службе финансовой разведки при Правительстве Кыргызской Республики увеличение расходов на 31,1% связано с дополнительным выделением ассигнований на служебные поездки для обязательного участия представителей Государственной службы финансовой разведки в работе Пленарных заседаний и заседаний рабочих групп ЕАФ, ФАТФ и группы Эгмонт; непредвиденные расходы (приобретение национальных сувениров, изготовление различных бланков, сертификатов и т.д.); приобретение серверного оборудования и программного обеспечения для обработки и хранения информации в Единой информационной системе, созданной в 2006-2007 годах при финансовой и технической поддержке международных доноров;</w:t>
      </w:r>
    </w:p>
    <w:p>
      <w:pPr>
        <w:spacing w:after="60"/>
        <w:ind w:firstLine="567"/>
        <w:jc w:val="both"/>
      </w:pPr>
      <w:r>
        <w:rPr>
          <w:rFonts w:ascii="Arial" w:cs="Arial" w:eastAsia="Arial" w:hAnsi="Arial"/>
          <w:sz w:val="24"/>
          <w:szCs w:val="24"/>
        </w:rPr>
        <w:t xml:space="preserve">в Министерстве экономики Кыргызской Республики уменьшение расходов на 13,2% связано с образованием Государственного комитета промышленности, энергетики и недропользования Кыргызской Республики (11,0 млн. сомов), с оплатой консультационных услуг на условиях государственного частного партнерства Министерству здравоохранения Кыргызской Республики (17,8 млн. сомов) и Агентству развития города Бишкек (9,8 млн. сомов), с зачетом ТМЦ и дебиторской задолженности за 2015 годы (1,7 млн. сомов) и с оптимизацией расходов в сумме 1,8 млн. сомов;</w:t>
      </w:r>
    </w:p>
    <w:p>
      <w:pPr>
        <w:spacing w:after="60"/>
        <w:ind w:firstLine="567"/>
        <w:jc w:val="both"/>
      </w:pPr>
      <w:r>
        <w:rPr>
          <w:rFonts w:ascii="Arial" w:cs="Arial" w:eastAsia="Arial" w:hAnsi="Arial"/>
          <w:sz w:val="24"/>
          <w:szCs w:val="24"/>
        </w:rPr>
        <w:t xml:space="preserve">в Министерстве финансов Кыргызской Республики увеличение расходов на 22,2% связано с поступлением гранта Российской Федерации в рамках вхождения Кыргызской Республики в Таможенный союз (30,0 млн. сомов), на коммунальные услуги (14,7 млн. сомов), а также с расчетной потребностью дополнительных расходов на заработную плату работников территориальных органов министерства, на коммунальные услуги и другие текущие расходы;</w:t>
      </w:r>
    </w:p>
    <w:p>
      <w:pPr>
        <w:spacing w:after="60"/>
        <w:ind w:firstLine="567"/>
        <w:jc w:val="both"/>
      </w:pPr>
      <w:r>
        <w:rPr>
          <w:rFonts w:ascii="Arial" w:cs="Arial" w:eastAsia="Arial" w:hAnsi="Arial"/>
          <w:sz w:val="24"/>
          <w:szCs w:val="24"/>
        </w:rPr>
        <w:t xml:space="preserve">в Государственной регистрационной службе при Правительстве Кыргызской Республики увеличение расходов более чем в 2 раза связано с дополнительным выделением ассигнований на проведение мероприятий по проведению выборов депутатов местных кенешей и референдума в 2016 году с применением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в Центральной комиссии по выборам и проведению референдумов Кыргызской Республики увеличение расходов на 642,0% связано с дополнительным выделением ассигнований на проведение выборов депутатов местных кенешей и референдума в 2016 году с применением биометрических данных граждан Кыргызской Республики;</w:t>
      </w:r>
    </w:p>
    <w:p>
      <w:pPr>
        <w:spacing w:after="60"/>
        <w:ind w:firstLine="567"/>
        <w:jc w:val="both"/>
      </w:pPr>
      <w:r>
        <w:rPr>
          <w:rFonts w:ascii="Arial" w:cs="Arial" w:eastAsia="Arial" w:hAnsi="Arial"/>
          <w:sz w:val="24"/>
          <w:szCs w:val="24"/>
        </w:rPr>
        <w:t xml:space="preserve">в Генеральной прокуратуре Кыргызской Республики увеличение расходов на 41,43% связано с расходами в размере 278,8 млн. сомов, в том числе: 128,8 млн. сомов - на повышение заработной платы государственным служащим органов прокуратуры и на строительство социального жилья сотрудникам прокураты (за счет грантовых средств Российской Федерации);</w:t>
      </w:r>
    </w:p>
    <w:p>
      <w:pPr>
        <w:spacing w:after="60"/>
        <w:ind w:firstLine="567"/>
        <w:jc w:val="both"/>
      </w:pPr>
      <w:r>
        <w:rPr>
          <w:rFonts w:ascii="Arial" w:cs="Arial" w:eastAsia="Arial" w:hAnsi="Arial"/>
          <w:sz w:val="24"/>
          <w:szCs w:val="24"/>
        </w:rPr>
        <w:t xml:space="preserve">в Военной прокуратуре Кыргызской Республики увеличение расходов на 33,1% связано с увеличением размера денежной компенсации взамен продовольственного пайка, а также с выплатой денежной компенсации за поднаем временного жилого помещения, погашением кредиторской задолженности по командировочным;</w:t>
      </w:r>
    </w:p>
    <w:p>
      <w:pPr>
        <w:spacing w:after="60"/>
        <w:ind w:firstLine="567"/>
        <w:jc w:val="both"/>
      </w:pPr>
      <w:r>
        <w:rPr>
          <w:rFonts w:ascii="Arial" w:cs="Arial" w:eastAsia="Arial" w:hAnsi="Arial"/>
          <w:sz w:val="24"/>
          <w:szCs w:val="24"/>
        </w:rPr>
        <w:t xml:space="preserve">в Государственном агентстве местного самоуправления и межэтнических отношений при Правительстве Кыргызской Республики уменьшение расходов на 16,7% связано с зачетом товарно-материальных ценностей и дебиторской задолженности, сложившейся за 2015 год в сумме 8,6 млн. сомов, а также оптимизацией расходов в 2016 году на сумму 1,6 млн. сомов - всего уменьшение на сумму 10,2 млн. сомов. При этом бюджет Агентства увеличен в 2016 году на сумму 5,3 млн. сомов, в том числе 4,3 млн. сомов - на реализацию Концепции укрепления единства народа, и 1,0 млн. сомов, выделенных из средств Всемирного банка на реализацию проекта;</w:t>
      </w:r>
    </w:p>
    <w:p>
      <w:pPr>
        <w:spacing w:after="60"/>
        <w:ind w:firstLine="567"/>
        <w:jc w:val="both"/>
      </w:pPr>
      <w:r>
        <w:rPr>
          <w:rFonts w:ascii="Arial" w:cs="Arial" w:eastAsia="Arial" w:hAnsi="Arial"/>
          <w:sz w:val="24"/>
          <w:szCs w:val="24"/>
        </w:rPr>
        <w:t xml:space="preserve">в Государственной службе исполнения наказаний при Правительстве Кыргызской Республики увеличение расходов на 22,2% связано с увеличением расходов в сумме 37,4 млн. сомов в связи с увеличением штатной численности сотрудников Государственной службы исполнения наказаний при Правительстве Кыргызской Республики, в сумме 10,5 млн. сомов для выплаты страховой суммы согласно статье 33 </w:t>
      </w:r>
      <w:hyperlink w:history="1" r:id="rId182fwlzqvwpxy8siffwq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органах и учреждениях уголовно-исполнительной (пенитенциарной) системы", а также с дополнительно выделенными средствами на строительство социального жилья сотрудникам Уголовно-исполнительной системы за счет грантовых средств Российской Федерации.</w:t>
      </w:r>
    </w:p>
    <w:p>
      <w:pPr>
        <w:spacing w:after="60"/>
        <w:ind w:firstLine="567"/>
        <w:jc w:val="both"/>
      </w:pPr>
      <w:r>
        <w:rPr>
          <w:rFonts w:ascii="Arial" w:cs="Arial" w:eastAsia="Arial" w:hAnsi="Arial"/>
          <w:sz w:val="24"/>
          <w:szCs w:val="24"/>
        </w:rPr>
        <w:t xml:space="preserve">Кроме того, произведено уменьшение расходов в рамках оптимизации расходов республиканского бюджета в сумме 200,0 млн. сомов;</w:t>
      </w:r>
    </w:p>
    <w:p>
      <w:pPr>
        <w:spacing w:after="60"/>
        <w:ind w:firstLine="567"/>
        <w:jc w:val="both"/>
      </w:pPr>
      <w:r>
        <w:rPr>
          <w:rFonts w:ascii="Arial" w:cs="Arial" w:eastAsia="Arial" w:hAnsi="Arial"/>
          <w:sz w:val="24"/>
          <w:szCs w:val="24"/>
        </w:rPr>
        <w:t xml:space="preserve">в Государственной службе по борьбе с экономическими преступлениями при Правительстве Кыргызской Республики увеличение расходов на 22,6% связано с увеличением расходов в сумме 30,1 млн. сомов за счет взысканных в доход государства возмещения материального ущерба и иных финансовых санкций в размере 30%. При разногласиях контрольные цифры на 2016 год были увеличены в связи с увеличением штатной численности Государственной службы по борьбе с экономическими преступлениями при Правительстве Кыргызской Республики на 24 единицы;</w:t>
      </w:r>
    </w:p>
    <w:p>
      <w:pPr>
        <w:spacing w:after="60"/>
        <w:ind w:firstLine="567"/>
        <w:jc w:val="both"/>
      </w:pPr>
      <w:r>
        <w:rPr>
          <w:rFonts w:ascii="Arial" w:cs="Arial" w:eastAsia="Arial" w:hAnsi="Arial"/>
          <w:sz w:val="24"/>
          <w:szCs w:val="24"/>
        </w:rPr>
        <w:t xml:space="preserve">в Министерстве культуры, информации и туризма Кыргызской Республики увеличение расходов на 7,9% связано с увеличением заработной платы технического и младшего обслуживающего персонала подведомственных учреждений министерства, Департамента кинематографии при Министерстве культуры, информации и туризма Кыргызской Республики, Кыргызского национального комплекса "Манас Ордо", с расходами на подготовку и проведение II Всемирных Игр кочевников и Года истории и культуры, а также на ремонт и обновление оборудования насосных станций Национального историко-археологического музейного комплекса "Сулайман-Тоо". Также увеличение расходов связано с проведением капитального ремонта Нарынского областного музыкально-драматического театра им.М.Рыскулова, Кыргызского национального академического театра оперы и балета имени А.Малдыбаева, проведением ремонтно-реставрационных работ и разработки проекта зоны охраны Государственного историко-культурного музея-заповедника "Шах Фазиль";</w:t>
      </w:r>
    </w:p>
    <w:p>
      <w:pPr>
        <w:spacing w:after="60"/>
        <w:ind w:firstLine="567"/>
        <w:jc w:val="both"/>
      </w:pPr>
      <w:r>
        <w:rPr>
          <w:rFonts w:ascii="Arial" w:cs="Arial" w:eastAsia="Arial" w:hAnsi="Arial"/>
          <w:sz w:val="24"/>
          <w:szCs w:val="24"/>
        </w:rPr>
        <w:t xml:space="preserve">в Государственной комиссии по делам религий увеличение расходов на 26,1% связано с увеличением расходов на организацию работы представительств в областях республики согласно Концепции государственной политики Кыргызской Республики в религиозной сфере.</w:t>
      </w:r>
    </w:p>
    <w:p>
      <w:pPr>
        <w:spacing w:after="60"/>
        <w:ind w:firstLine="567"/>
        <w:jc w:val="both"/>
      </w:pPr>
      <w:r>
        <w:rPr>
          <w:rFonts w:ascii="Arial" w:cs="Arial" w:eastAsia="Arial" w:hAnsi="Arial"/>
          <w:sz w:val="24"/>
          <w:szCs w:val="24"/>
        </w:rPr>
        <w:t xml:space="preserve">Постановлением Правительства Кыргызской Республики "Об организационных мерах в связи с утверждением новой структуры Правительства Кыргызской Республики" от 16 ноября 2015 года № 768:</w:t>
      </w:r>
    </w:p>
    <w:p>
      <w:pPr>
        <w:spacing w:after="60"/>
        <w:ind w:firstLine="567"/>
        <w:jc w:val="both"/>
      </w:pPr>
      <w:r>
        <w:rPr>
          <w:rFonts w:ascii="Arial" w:cs="Arial" w:eastAsia="Arial" w:hAnsi="Arial"/>
          <w:sz w:val="24"/>
          <w:szCs w:val="24"/>
        </w:rPr>
        <w:t xml:space="preserve">- преобразованы Министерство труда, миграции и молодежи Кыргызской Республики и Министерство социального развития Кыргызской Республики в Министерство труда и социального развития Кыргызской Республики, с исключением функций в сферах миграции и молодежи и передачей Института социального развития и предпринимательства, Молодежной биржи труда; функций в сфере труда и занятости со штатом в количестве 30 единиц из центрального аппарата и 325 единиц из территориальных подразделений преобразуемого Министерства труда, миграции и молодежи Кыргызской Республики, с финансовыми, материально-техническими средствами в Министерство труда и социального развития Кыргызской Республики;</w:t>
      </w:r>
    </w:p>
    <w:p>
      <w:pPr>
        <w:spacing w:after="60"/>
        <w:ind w:firstLine="567"/>
        <w:jc w:val="both"/>
      </w:pPr>
      <w:r>
        <w:rPr>
          <w:rFonts w:ascii="Arial" w:cs="Arial" w:eastAsia="Arial" w:hAnsi="Arial"/>
          <w:sz w:val="24"/>
          <w:szCs w:val="24"/>
        </w:rPr>
        <w:t xml:space="preserve">- передано 7 единиц из центрального аппарата и 7 единиц из территориальных подразделений преобразуемого Министерства труда, миграции и молодежи Кыргызской Республики в Министерство образования и науки Кыргызской Республики и Агентства профессионально-технического образования;</w:t>
      </w:r>
    </w:p>
    <w:p>
      <w:pPr>
        <w:spacing w:after="60"/>
        <w:ind w:firstLine="567"/>
        <w:jc w:val="both"/>
      </w:pPr>
      <w:r>
        <w:rPr>
          <w:rFonts w:ascii="Arial" w:cs="Arial" w:eastAsia="Arial" w:hAnsi="Arial"/>
          <w:sz w:val="24"/>
          <w:szCs w:val="24"/>
        </w:rPr>
        <w:t xml:space="preserve">- образовано Государственное агентство по делам молодежи, физической культуры и спорта при Правительстве Кыргызской Республики на базе Государственного агентства физической культуры и спорта при Правительстве Кыргызской Республики, с передачей от преобразуемого Министерства труда, миграции и молодежи Кыргызской Республики функций в сфере молодежи со штатом в количестве 18 единиц из центрального аппарата и 40 единиц из территориальных подразделений преобразуемого Министерства труда, миграции и молодежи Кыргызской Республики, с финансовыми, материально-техническими средствами; Республиканского дворца молодежи "Манас";</w:t>
      </w:r>
    </w:p>
    <w:p>
      <w:pPr>
        <w:spacing w:after="60"/>
        <w:ind w:firstLine="567"/>
        <w:jc w:val="both"/>
      </w:pPr>
      <w:r>
        <w:rPr>
          <w:rFonts w:ascii="Arial" w:cs="Arial" w:eastAsia="Arial" w:hAnsi="Arial"/>
          <w:sz w:val="24"/>
          <w:szCs w:val="24"/>
        </w:rPr>
        <w:t xml:space="preserve">- образована Государственная служба миграции при Правительстве Кыргызской Республики с передачей от преобразуемого Министерства труда, миграции и молодежи Кыргызской Республики функций в сфере миграции со штатом в количестве 48 единиц из центрального аппарата, финансовыми и материально-техническими средствами; Центра трудоустройства граждан Кыргызской Республики.</w:t>
      </w:r>
    </w:p>
    <w:p>
      <w:pPr>
        <w:spacing w:after="60"/>
        <w:ind w:firstLine="567"/>
        <w:jc w:val="both"/>
      </w:pPr>
      <w:r>
        <w:rPr>
          <w:rFonts w:ascii="Arial" w:cs="Arial" w:eastAsia="Arial" w:hAnsi="Arial"/>
          <w:sz w:val="24"/>
          <w:szCs w:val="24"/>
        </w:rPr>
        <w:t xml:space="preserve">В результате реорганизации бюджет Министерства труда, миграции и молодежи Кыргызской Республики на 2016 год распределен между государственными органами следующим образом:</w:t>
      </w:r>
    </w:p>
    <w:p>
      <w:pPr>
        <w:spacing w:after="60"/>
        <w:ind w:firstLine="567"/>
        <w:jc w:val="both"/>
      </w:pPr>
      <w:r>
        <w:rPr>
          <w:rFonts w:ascii="Arial" w:cs="Arial" w:eastAsia="Arial" w:hAnsi="Arial"/>
          <w:sz w:val="24"/>
          <w:szCs w:val="24"/>
        </w:rPr>
        <w:t xml:space="preserve">- Министерству труда и социального развития Кыргызской Республики - 187461,5 тыс. сомов;</w:t>
      </w:r>
    </w:p>
    <w:p>
      <w:pPr>
        <w:spacing w:after="60"/>
        <w:ind w:firstLine="567"/>
        <w:jc w:val="both"/>
      </w:pPr>
      <w:r>
        <w:rPr>
          <w:rFonts w:ascii="Arial" w:cs="Arial" w:eastAsia="Arial" w:hAnsi="Arial"/>
          <w:sz w:val="24"/>
          <w:szCs w:val="24"/>
        </w:rPr>
        <w:t xml:space="preserve">- Министерству образования и науки Кыргызской Республики, включая Агентство профессионального и технического образования, - 1102313,8 тыс. сомов;</w:t>
      </w:r>
    </w:p>
    <w:p>
      <w:pPr>
        <w:spacing w:after="60"/>
        <w:ind w:firstLine="567"/>
        <w:jc w:val="both"/>
      </w:pPr>
      <w:r>
        <w:rPr>
          <w:rFonts w:ascii="Arial" w:cs="Arial" w:eastAsia="Arial" w:hAnsi="Arial"/>
          <w:sz w:val="24"/>
          <w:szCs w:val="24"/>
        </w:rPr>
        <w:t xml:space="preserve">- Государственному агентству по делам молодежи, физической культуры и спорта при Правительстве Кыргызской Республики - 24584,9 тыс. сомов;</w:t>
      </w:r>
    </w:p>
    <w:p>
      <w:pPr>
        <w:spacing w:after="60"/>
        <w:ind w:firstLine="567"/>
        <w:jc w:val="both"/>
      </w:pPr>
      <w:r>
        <w:rPr>
          <w:rFonts w:ascii="Arial" w:cs="Arial" w:eastAsia="Arial" w:hAnsi="Arial"/>
          <w:sz w:val="24"/>
          <w:szCs w:val="24"/>
        </w:rPr>
        <w:t xml:space="preserve">- Государственной службе миграции при Правительстве Кыргызской Республики - 64727,9 тыс. сомов.</w:t>
      </w:r>
    </w:p>
    <w:p>
      <w:pPr>
        <w:spacing w:after="60"/>
        <w:ind w:firstLine="567"/>
        <w:jc w:val="both"/>
      </w:pPr>
      <w:r>
        <w:rPr>
          <w:rFonts w:ascii="Arial" w:cs="Arial" w:eastAsia="Arial" w:hAnsi="Arial"/>
          <w:sz w:val="24"/>
          <w:szCs w:val="24"/>
        </w:rPr>
        <w:t xml:space="preserve">В настоящее время по ведомственной классификации 73 функционирует Государственная служба миграции при Правительстве Кыргызской Республики.</w:t>
      </w:r>
    </w:p>
    <w:p>
      <w:pPr>
        <w:spacing w:after="60"/>
        <w:ind w:firstLine="567"/>
        <w:jc w:val="both"/>
      </w:pPr>
      <w:r>
        <w:rPr>
          <w:rFonts w:ascii="Arial" w:cs="Arial" w:eastAsia="Arial" w:hAnsi="Arial"/>
          <w:sz w:val="24"/>
          <w:szCs w:val="24"/>
        </w:rPr>
        <w:t xml:space="preserve">Согласно </w:t>
      </w:r>
      <w:hyperlink w:history="1" r:id="rIdgnffazfqapdpymf2svcnr">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16 ноября 2015 года № 768, переданы функции в сфере молодежи со штатом в количестве 18 единиц из центрального аппарата и 40 единиц из территориальных подразделений преобразуемого Министерства труда, миграции и молодежи Кыргызской Республики в Государственное агентство по делам молодежи, физической культуры и спорта при Правительстве Кыргызской Республики;</w:t>
      </w:r>
    </w:p>
    <w:p>
      <w:pPr>
        <w:spacing w:after="60"/>
        <w:ind w:firstLine="567"/>
        <w:jc w:val="both"/>
      </w:pPr>
      <w:r>
        <w:rPr>
          <w:rFonts w:ascii="Arial" w:cs="Arial" w:eastAsia="Arial" w:hAnsi="Arial"/>
          <w:sz w:val="24"/>
          <w:szCs w:val="24"/>
        </w:rPr>
        <w:t xml:space="preserve">в Государственном агентстве по делам молодежи, физической культуры и спорта при Правительстве Кыргызской Республики (далее - ГАМФКС) увеличение утвержденного бюджета 2016 года (623,0 млн. сомов) относительно прогноза СПБ на 2016 год (481,1 млн. сомов) составило 141,9 млн. сомов за счет проведения, подготовки и участия в международных матчах по футболу и XXXI летних Олимпийских играх в Рио-де-Жанейро.</w:t>
      </w:r>
    </w:p>
    <w:p>
      <w:pPr>
        <w:spacing w:after="60"/>
        <w:ind w:firstLine="567"/>
        <w:jc w:val="both"/>
      </w:pPr>
      <w:r>
        <w:rPr>
          <w:rFonts w:ascii="Arial" w:cs="Arial" w:eastAsia="Arial" w:hAnsi="Arial"/>
          <w:sz w:val="24"/>
          <w:szCs w:val="24"/>
        </w:rPr>
        <w:t xml:space="preserve">Увеличение бюджетных средств в 2016 году по ГАМФКС на 372,0 млн. сомов связано с проведением ряда мероприятий, таких, как:</w:t>
      </w:r>
    </w:p>
    <w:p>
      <w:pPr>
        <w:spacing w:after="60"/>
        <w:ind w:firstLine="567"/>
        <w:jc w:val="both"/>
      </w:pPr>
      <w:r>
        <w:rPr>
          <w:rFonts w:ascii="Arial" w:cs="Arial" w:eastAsia="Arial" w:hAnsi="Arial"/>
          <w:sz w:val="24"/>
          <w:szCs w:val="24"/>
        </w:rPr>
        <w:t xml:space="preserve">- передача в ведение ГАМФКС финансирования Ошского ипподрома в сумме 1,7 млн. сомов;</w:t>
      </w:r>
    </w:p>
    <w:p>
      <w:pPr>
        <w:spacing w:after="60"/>
        <w:ind w:firstLine="567"/>
        <w:jc w:val="both"/>
      </w:pPr>
      <w:r>
        <w:rPr>
          <w:rFonts w:ascii="Arial" w:cs="Arial" w:eastAsia="Arial" w:hAnsi="Arial"/>
          <w:sz w:val="24"/>
          <w:szCs w:val="24"/>
        </w:rPr>
        <w:t xml:space="preserve">- подготовка и проведение II Всемирных Игр кочевников на сумму 159,4 млн. сомов;</w:t>
      </w:r>
    </w:p>
    <w:p>
      <w:pPr>
        <w:spacing w:after="60"/>
        <w:ind w:firstLine="567"/>
        <w:jc w:val="both"/>
      </w:pPr>
      <w:r>
        <w:rPr>
          <w:rFonts w:ascii="Arial" w:cs="Arial" w:eastAsia="Arial" w:hAnsi="Arial"/>
          <w:sz w:val="24"/>
          <w:szCs w:val="24"/>
        </w:rPr>
        <w:t xml:space="preserve">- на церемонию открытия и закрытия Игр выделена бюджетная ссуда в сумме 125,0 млн. сомов;</w:t>
      </w:r>
    </w:p>
    <w:p>
      <w:pPr>
        <w:spacing w:after="60"/>
        <w:ind w:firstLine="567"/>
        <w:jc w:val="both"/>
      </w:pPr>
      <w:r>
        <w:rPr>
          <w:rFonts w:ascii="Arial" w:cs="Arial" w:eastAsia="Arial" w:hAnsi="Arial"/>
          <w:sz w:val="24"/>
          <w:szCs w:val="24"/>
        </w:rPr>
        <w:t xml:space="preserve">- на погашение данной бюджетной ссуды выделены средства в объеме 125,0 млн. сомов;</w:t>
      </w:r>
    </w:p>
    <w:p>
      <w:pPr>
        <w:spacing w:after="60"/>
        <w:ind w:firstLine="567"/>
        <w:jc w:val="both"/>
      </w:pPr>
      <w:r>
        <w:rPr>
          <w:rFonts w:ascii="Arial" w:cs="Arial" w:eastAsia="Arial" w:hAnsi="Arial"/>
          <w:sz w:val="24"/>
          <w:szCs w:val="24"/>
        </w:rPr>
        <w:t xml:space="preserve">- увеличение фонда оплаты труда технического, младшего обслуживающего персонала на сумму 5,6 млн. сомов.</w:t>
      </w:r>
    </w:p>
    <w:p>
      <w:pPr>
        <w:spacing w:after="60"/>
        <w:ind w:firstLine="567"/>
        <w:jc w:val="both"/>
      </w:pPr>
      <w:r>
        <w:rPr>
          <w:rFonts w:ascii="Arial" w:cs="Arial" w:eastAsia="Arial" w:hAnsi="Arial"/>
          <w:sz w:val="24"/>
          <w:szCs w:val="24"/>
        </w:rPr>
        <w:t xml:space="preserve">Уменьшение бюджетных средств в 2016 году по ГАМФКС связано с проведением следующих мероприятий:</w:t>
      </w:r>
    </w:p>
    <w:p>
      <w:pPr>
        <w:spacing w:after="60"/>
        <w:ind w:firstLine="567"/>
        <w:jc w:val="both"/>
      </w:pPr>
      <w:r>
        <w:rPr>
          <w:rFonts w:ascii="Arial" w:cs="Arial" w:eastAsia="Arial" w:hAnsi="Arial"/>
          <w:sz w:val="24"/>
          <w:szCs w:val="24"/>
        </w:rPr>
        <w:t xml:space="preserve">- сокращение расходов на 0,1 млн. сомов согласно предписанию Счетной палаты Кыргызской Республики;</w:t>
      </w:r>
    </w:p>
    <w:p>
      <w:pPr>
        <w:spacing w:after="60"/>
        <w:ind w:firstLine="567"/>
        <w:jc w:val="both"/>
      </w:pPr>
      <w:r>
        <w:rPr>
          <w:rFonts w:ascii="Arial" w:cs="Arial" w:eastAsia="Arial" w:hAnsi="Arial"/>
          <w:sz w:val="24"/>
          <w:szCs w:val="24"/>
        </w:rPr>
        <w:t xml:space="preserve">- на основании анализа сметных назначений по итогам исполнения бюджета сокращены расходы на выплату заработной платы в сумме 3,7 млн. сомов.</w:t>
      </w:r>
    </w:p>
    <w:p>
      <w:pPr>
        <w:spacing w:after="60"/>
        <w:ind w:firstLine="567"/>
        <w:jc w:val="both"/>
      </w:pPr>
      <w:r>
        <w:rPr>
          <w:rFonts w:ascii="Arial" w:cs="Arial" w:eastAsia="Arial" w:hAnsi="Arial"/>
          <w:sz w:val="24"/>
          <w:szCs w:val="24"/>
        </w:rPr>
        <w:t xml:space="preserve">В рамках бюджета ГАМФКС проведен Чемпионат мира по бильярдному спорту среди мужчин на общую сумму 5,0 млн. сомов. Согласно определению Апелляционной инстанции Бишкекского городского суда от 7 июня 2016 года выплачена задолженность перед OcOO "GrandPro" в сумме 1,3 млн. сомов за установку осветительных приборов.</w:t>
      </w:r>
    </w:p>
    <w:p>
      <w:pPr>
        <w:spacing w:after="60"/>
        <w:ind w:firstLine="567"/>
        <w:jc w:val="both"/>
      </w:pPr>
      <w:r>
        <w:rPr>
          <w:rFonts w:ascii="Arial" w:cs="Arial" w:eastAsia="Arial" w:hAnsi="Arial"/>
          <w:sz w:val="24"/>
          <w:szCs w:val="24"/>
        </w:rPr>
        <w:t xml:space="preserve">В 2016 году увеличение расходов на 35,25% Архива Президента Кыргызской Республики объясняется дополнительным выделением 2,0 млн. сомов на приобретение оборудования, установку охранно-пожарной сигнализации и системы автоматического пожаротушения, а также на ремонт видеотехники.</w:t>
      </w:r>
    </w:p>
    <w:p>
      <w:pPr>
        <w:spacing w:after="60"/>
        <w:ind w:firstLine="567"/>
        <w:jc w:val="both"/>
      </w:pPr>
      <w:r>
        <w:rPr>
          <w:rFonts w:ascii="Arial" w:cs="Arial" w:eastAsia="Arial" w:hAnsi="Arial"/>
          <w:sz w:val="24"/>
          <w:szCs w:val="24"/>
        </w:rPr>
        <w:t xml:space="preserve">В Национальной академии наук Кыргызской Республики увеличение расходов на 21,9% связано с проведением научно-практических конференций, изданием научных трудов, приуроченных к Году истории и культуры, а также дополнительным выделением средств на проведение научно-технических работ и мероприятий Институтом физико-технических проблем и материаловедения Национальной академии наук Кыргызской Республики.</w:t>
      </w:r>
    </w:p>
    <w:p>
      <w:pPr>
        <w:spacing w:after="60"/>
        <w:ind w:firstLine="567"/>
        <w:jc w:val="both"/>
      </w:pPr>
      <w:r>
        <w:rPr>
          <w:rFonts w:ascii="Arial" w:cs="Arial" w:eastAsia="Arial" w:hAnsi="Arial"/>
          <w:sz w:val="24"/>
          <w:szCs w:val="24"/>
        </w:rPr>
        <w:t xml:space="preserve">В Министерстве образования и науки Кыргызской Республики увеличение расходов на 44,1% связано с:</w:t>
      </w:r>
    </w:p>
    <w:p>
      <w:pPr>
        <w:spacing w:after="60"/>
        <w:ind w:firstLine="567"/>
        <w:jc w:val="both"/>
      </w:pPr>
      <w:r>
        <w:rPr>
          <w:rFonts w:ascii="Arial" w:cs="Arial" w:eastAsia="Arial" w:hAnsi="Arial"/>
          <w:sz w:val="24"/>
          <w:szCs w:val="24"/>
        </w:rPr>
        <w:t xml:space="preserve">- повышением заработной платы учителей, МОП и ТОП;</w:t>
      </w:r>
    </w:p>
    <w:p>
      <w:pPr>
        <w:spacing w:after="60"/>
        <w:ind w:firstLine="567"/>
        <w:jc w:val="both"/>
      </w:pPr>
      <w:r>
        <w:rPr>
          <w:rFonts w:ascii="Arial" w:cs="Arial" w:eastAsia="Arial" w:hAnsi="Arial"/>
          <w:sz w:val="24"/>
          <w:szCs w:val="24"/>
        </w:rPr>
        <w:t xml:space="preserve">- выделением дополнительных средств Департаменту по инвестициям, ремонту и материальному обеспечению на капитальный ремонт образовательных организаций за счет средств, поступивших от месторождения Джеруй;</w:t>
      </w:r>
    </w:p>
    <w:p>
      <w:pPr>
        <w:spacing w:after="60"/>
        <w:ind w:firstLine="567"/>
        <w:jc w:val="both"/>
      </w:pPr>
      <w:r>
        <w:rPr>
          <w:rFonts w:ascii="Arial" w:cs="Arial" w:eastAsia="Arial" w:hAnsi="Arial"/>
          <w:sz w:val="24"/>
          <w:szCs w:val="24"/>
        </w:rPr>
        <w:t xml:space="preserve">- обеспечением общеобразовательных школ республики интернетом;</w:t>
      </w:r>
    </w:p>
    <w:p>
      <w:pPr>
        <w:spacing w:after="60"/>
        <w:ind w:firstLine="567"/>
        <w:jc w:val="both"/>
      </w:pPr>
      <w:r>
        <w:rPr>
          <w:rFonts w:ascii="Arial" w:cs="Arial" w:eastAsia="Arial" w:hAnsi="Arial"/>
          <w:sz w:val="24"/>
          <w:szCs w:val="24"/>
        </w:rPr>
        <w:t xml:space="preserve">- развитием государственного языка.</w:t>
      </w:r>
    </w:p>
    <w:p>
      <w:pPr>
        <w:spacing w:after="60"/>
        <w:ind w:firstLine="567"/>
        <w:jc w:val="both"/>
      </w:pPr>
      <w:r>
        <w:rPr>
          <w:rFonts w:ascii="Arial" w:cs="Arial" w:eastAsia="Arial" w:hAnsi="Arial"/>
          <w:sz w:val="24"/>
          <w:szCs w:val="24"/>
        </w:rPr>
        <w:t xml:space="preserve">В Социальном фонде Кыргызской Республики уменьшение расходов на 10,1% произведено согласно Акту сверки остатков за 2015 год, Предписанию Счетной палаты Кыргызской Республики по результатам аудита составления и исполнения республиканского бюджета за 2015 год и по результатам оптимизации расходов.</w:t>
      </w:r>
    </w:p>
    <w:p>
      <w:pPr>
        <w:spacing w:after="60"/>
        <w:ind w:firstLine="567"/>
        <w:jc w:val="both"/>
      </w:pPr>
      <w:r>
        <w:rPr>
          <w:rFonts w:ascii="Arial" w:cs="Arial" w:eastAsia="Arial" w:hAnsi="Arial"/>
          <w:sz w:val="24"/>
          <w:szCs w:val="24"/>
        </w:rPr>
        <w:t xml:space="preserve">В Министерстве здравоохранения Кыргызской Республики уменьшение расходов на 13% связано с передачей средств на финансирование сумм возмещения организациям здравоохранения ФОМСа за оказанные гемодиализные услуги для 118 остронуждающимся пациентам, на приобретение медицинского оборудования для онкологической службы, на погашение кредиторской задолженности переведенных специализированных организаций здравоохранения на финансирования через систему Единого плательщика, а также в связи с задержками при проведении тендеров по закупкам в рамках SWAp-2.</w:t>
      </w:r>
    </w:p>
    <w:p>
      <w:pPr>
        <w:spacing w:after="60"/>
        <w:ind w:firstLine="567"/>
        <w:jc w:val="both"/>
      </w:pPr>
      <w:r>
        <w:rPr>
          <w:rFonts w:ascii="Arial" w:cs="Arial" w:eastAsia="Arial" w:hAnsi="Arial"/>
          <w:sz w:val="24"/>
          <w:szCs w:val="24"/>
        </w:rPr>
        <w:t xml:space="preserve">В Министерстве сельского хозяйства, пищевой промышленности и мелиорации Кыргызской Республики произведено увеличение расходов на 49,1% за счет:</w:t>
      </w:r>
    </w:p>
    <w:p>
      <w:pPr>
        <w:spacing w:after="60"/>
        <w:ind w:firstLine="567"/>
        <w:jc w:val="both"/>
      </w:pPr>
      <w:r>
        <w:rPr>
          <w:rFonts w:ascii="Arial" w:cs="Arial" w:eastAsia="Arial" w:hAnsi="Arial"/>
          <w:sz w:val="24"/>
          <w:szCs w:val="24"/>
        </w:rPr>
        <w:t xml:space="preserve">- повышения заработной платы сотрудникам МОП и ТОП;</w:t>
      </w:r>
    </w:p>
    <w:p>
      <w:pPr>
        <w:spacing w:after="60"/>
        <w:ind w:firstLine="567"/>
        <w:jc w:val="both"/>
      </w:pPr>
      <w:r>
        <w:rPr>
          <w:rFonts w:ascii="Arial" w:cs="Arial" w:eastAsia="Arial" w:hAnsi="Arial"/>
          <w:sz w:val="24"/>
          <w:szCs w:val="24"/>
        </w:rPr>
        <w:t xml:space="preserve">- дополнительных средств для проведения научных исследований с привлечением космических технологий;</w:t>
      </w:r>
    </w:p>
    <w:p>
      <w:pPr>
        <w:spacing w:after="60"/>
        <w:ind w:firstLine="567"/>
        <w:jc w:val="both"/>
      </w:pPr>
      <w:r>
        <w:rPr>
          <w:rFonts w:ascii="Arial" w:cs="Arial" w:eastAsia="Arial" w:hAnsi="Arial"/>
          <w:sz w:val="24"/>
          <w:szCs w:val="24"/>
        </w:rPr>
        <w:t xml:space="preserve">- дополнительных средств Департаменту химизации и защиты растений;</w:t>
      </w:r>
    </w:p>
    <w:p>
      <w:pPr>
        <w:spacing w:after="60"/>
        <w:ind w:firstLine="567"/>
        <w:jc w:val="both"/>
      </w:pPr>
      <w:r>
        <w:rPr>
          <w:rFonts w:ascii="Arial" w:cs="Arial" w:eastAsia="Arial" w:hAnsi="Arial"/>
          <w:sz w:val="24"/>
          <w:szCs w:val="24"/>
        </w:rPr>
        <w:t xml:space="preserve">- дополнительных средств Департаменту водного хозяйства на содержание, техническую эксплуатацию и капитальный ремонт вновь принятых на баланс государственных ирригационных сооружений, а также капитальный ремонт государственных ирригационных сооружений, разрушенных в результате стихийных бедствий;</w:t>
      </w:r>
    </w:p>
    <w:p>
      <w:pPr>
        <w:spacing w:after="60"/>
        <w:ind w:firstLine="567"/>
        <w:jc w:val="both"/>
      </w:pPr>
      <w:r>
        <w:rPr>
          <w:rFonts w:ascii="Arial" w:cs="Arial" w:eastAsia="Arial" w:hAnsi="Arial"/>
          <w:sz w:val="24"/>
          <w:szCs w:val="24"/>
        </w:rPr>
        <w:t xml:space="preserve">- создания двух фитосанитарных лабораторий в Таласской и Иссык-Кульской областях.</w:t>
      </w:r>
    </w:p>
    <w:p>
      <w:pPr>
        <w:spacing w:after="60"/>
        <w:ind w:firstLine="567"/>
        <w:jc w:val="both"/>
      </w:pPr>
      <w:r>
        <w:rPr>
          <w:rFonts w:ascii="Arial" w:cs="Arial" w:eastAsia="Arial" w:hAnsi="Arial"/>
          <w:sz w:val="24"/>
          <w:szCs w:val="24"/>
        </w:rPr>
        <w:t xml:space="preserve">В Министерстве чрезвычайных ситуаций Кыргызской Республики увеличение расходов на 17,7% связано с:</w:t>
      </w:r>
    </w:p>
    <w:p>
      <w:pPr>
        <w:spacing w:after="60"/>
        <w:ind w:firstLine="567"/>
        <w:jc w:val="both"/>
      </w:pPr>
      <w:r>
        <w:rPr>
          <w:rFonts w:ascii="Arial" w:cs="Arial" w:eastAsia="Arial" w:hAnsi="Arial"/>
          <w:sz w:val="24"/>
          <w:szCs w:val="24"/>
        </w:rPr>
        <w:t xml:space="preserve">- оплатой кредиторской задолженности перед Департаментом государственных зданий при Управлении делами Президента и Правительства Кыргызской Республики;</w:t>
      </w:r>
    </w:p>
    <w:p>
      <w:pPr>
        <w:spacing w:after="60"/>
        <w:ind w:firstLine="567"/>
        <w:jc w:val="both"/>
      </w:pPr>
      <w:r>
        <w:rPr>
          <w:rFonts w:ascii="Arial" w:cs="Arial" w:eastAsia="Arial" w:hAnsi="Arial"/>
          <w:sz w:val="24"/>
          <w:szCs w:val="24"/>
        </w:rPr>
        <w:t xml:space="preserve">- оплатой расходов по взносам международным организациям;</w:t>
      </w:r>
    </w:p>
    <w:p>
      <w:pPr>
        <w:spacing w:after="60"/>
        <w:ind w:firstLine="567"/>
        <w:jc w:val="both"/>
      </w:pPr>
      <w:r>
        <w:rPr>
          <w:rFonts w:ascii="Arial" w:cs="Arial" w:eastAsia="Arial" w:hAnsi="Arial"/>
          <w:sz w:val="24"/>
          <w:szCs w:val="24"/>
        </w:rPr>
        <w:t xml:space="preserve">- повышением оплаты труда работников МОП и ТОП Агентства по гидрометеорологии при Министерстве чрезвычайных ситуаций Кыргызской Республики;</w:t>
      </w:r>
    </w:p>
    <w:p>
      <w:pPr>
        <w:spacing w:after="60"/>
        <w:ind w:firstLine="567"/>
        <w:jc w:val="both"/>
      </w:pPr>
      <w:r>
        <w:rPr>
          <w:rFonts w:ascii="Arial" w:cs="Arial" w:eastAsia="Arial" w:hAnsi="Arial"/>
          <w:sz w:val="24"/>
          <w:szCs w:val="24"/>
        </w:rPr>
        <w:t xml:space="preserve">- доставкой грузов памирским кыргызам;</w:t>
      </w:r>
    </w:p>
    <w:p>
      <w:pPr>
        <w:spacing w:after="60"/>
        <w:ind w:firstLine="567"/>
        <w:jc w:val="both"/>
      </w:pPr>
      <w:r>
        <w:rPr>
          <w:rFonts w:ascii="Arial" w:cs="Arial" w:eastAsia="Arial" w:hAnsi="Arial"/>
          <w:sz w:val="24"/>
          <w:szCs w:val="24"/>
        </w:rPr>
        <w:t xml:space="preserve">- проведением неотложных аварийно-восстановительных работ, коммуникаций и других объектов взамен разрушенных вследствие чрезвычайных ситуаций и не предусмотренных планом строительства;</w:t>
      </w:r>
    </w:p>
    <w:p>
      <w:pPr>
        <w:spacing w:after="60"/>
        <w:ind w:firstLine="567"/>
        <w:jc w:val="both"/>
      </w:pPr>
      <w:r>
        <w:rPr>
          <w:rFonts w:ascii="Arial" w:cs="Arial" w:eastAsia="Arial" w:hAnsi="Arial"/>
          <w:sz w:val="24"/>
          <w:szCs w:val="24"/>
        </w:rPr>
        <w:t xml:space="preserve">- оперативными мерами по ликвидации последствий стихийных бедствий на автомобильных дорогах общего пользования, обеспечения бесперебойного транспортного сообщения, а также проведения первоочередных неотложных аварийно-восстановительных работ на территории Иссык-Кульской и Чуйской областей.</w:t>
      </w:r>
    </w:p>
    <w:p>
      <w:pPr>
        <w:spacing w:after="60"/>
        <w:ind w:firstLine="567"/>
        <w:jc w:val="both"/>
      </w:pPr>
      <w:r>
        <w:rPr>
          <w:rFonts w:ascii="Arial" w:cs="Arial" w:eastAsia="Arial" w:hAnsi="Arial"/>
          <w:sz w:val="24"/>
          <w:szCs w:val="24"/>
        </w:rPr>
        <w:t xml:space="preserve">В Государственном агентстве охраны окружающей среды и лесного хозяйства при Правительстве Кыргызской Республики увеличение расходов на 52,3% связано с выделением дополнительных средств по статьям "заработная плата" и "взносы в Социальный фонд".</w:t>
      </w:r>
    </w:p>
    <w:p>
      <w:pPr>
        <w:spacing w:after="60"/>
        <w:ind w:firstLine="567"/>
        <w:jc w:val="both"/>
      </w:pPr>
      <w:r>
        <w:rPr>
          <w:rFonts w:ascii="Arial" w:cs="Arial" w:eastAsia="Arial" w:hAnsi="Arial"/>
          <w:sz w:val="24"/>
          <w:szCs w:val="24"/>
        </w:rPr>
        <w:t xml:space="preserve">Государственная инспекция по ветеринарной и фитосанитарной безопасности при Правительстве Кыргызской Республики увеличение расходов на 41,3% связано с:</w:t>
      </w:r>
    </w:p>
    <w:p>
      <w:pPr>
        <w:spacing w:after="60"/>
        <w:ind w:firstLine="567"/>
        <w:jc w:val="both"/>
      </w:pPr>
      <w:r>
        <w:rPr>
          <w:rFonts w:ascii="Arial" w:cs="Arial" w:eastAsia="Arial" w:hAnsi="Arial"/>
          <w:sz w:val="24"/>
          <w:szCs w:val="24"/>
        </w:rPr>
        <w:t xml:space="preserve">- проведением необходимых работ по капитальному ремонту, оснащению и строительства объектов ветеринарной диагностики и экспертизы в республике в целях исполнения обязательств Правительства Кыргызской Республики по приведению системы ветеринарных и фитосанитарных лабораторий Кыргызской Республики в соответствии с требованиями Евразийского экономического союза, принятых Кыргызской Республикой при вступлении в Евразийский экономический союз;</w:t>
      </w:r>
    </w:p>
    <w:p>
      <w:pPr>
        <w:spacing w:after="60"/>
        <w:ind w:firstLine="567"/>
        <w:jc w:val="both"/>
      </w:pPr>
      <w:r>
        <w:rPr>
          <w:rFonts w:ascii="Arial" w:cs="Arial" w:eastAsia="Arial" w:hAnsi="Arial"/>
          <w:sz w:val="24"/>
          <w:szCs w:val="24"/>
        </w:rPr>
        <w:t xml:space="preserve">- работами по реконструкции и капитальному ремонту шести отделов Ошского зонального центра ветеринарной диагностики и экспертизы;</w:t>
      </w:r>
    </w:p>
    <w:p>
      <w:pPr>
        <w:spacing w:after="60"/>
        <w:ind w:firstLine="567"/>
        <w:jc w:val="both"/>
      </w:pPr>
      <w:r>
        <w:rPr>
          <w:rFonts w:ascii="Arial" w:cs="Arial" w:eastAsia="Arial" w:hAnsi="Arial"/>
          <w:sz w:val="24"/>
          <w:szCs w:val="24"/>
        </w:rPr>
        <w:t xml:space="preserve">- проведением тендера на закупку современного оборудования для лабораторий, Республиканского центра ветеринарной диагностики и экспертизы и Ошского зонального центра ветеринарной диагностики и экспертизы;</w:t>
      </w:r>
    </w:p>
    <w:p>
      <w:pPr>
        <w:spacing w:after="60"/>
        <w:ind w:firstLine="567"/>
        <w:jc w:val="both"/>
      </w:pPr>
      <w:r>
        <w:rPr>
          <w:rFonts w:ascii="Arial" w:cs="Arial" w:eastAsia="Arial" w:hAnsi="Arial"/>
          <w:sz w:val="24"/>
          <w:szCs w:val="24"/>
        </w:rPr>
        <w:t xml:space="preserve">- повышением квалификации 12 специалистов ветеринарных лабораторий, которые прошли обучение в городе Москва;</w:t>
      </w:r>
    </w:p>
    <w:p>
      <w:pPr>
        <w:spacing w:after="60"/>
        <w:ind w:firstLine="567"/>
        <w:jc w:val="both"/>
      </w:pPr>
      <w:r>
        <w:rPr>
          <w:rFonts w:ascii="Arial" w:cs="Arial" w:eastAsia="Arial" w:hAnsi="Arial"/>
          <w:sz w:val="24"/>
          <w:szCs w:val="24"/>
        </w:rPr>
        <w:t xml:space="preserve">- оперативным проведением мероприятий по идентификации сельскохозяйственных животных.</w:t>
      </w:r>
    </w:p>
    <w:p>
      <w:pPr>
        <w:spacing w:after="60"/>
        <w:ind w:firstLine="567"/>
        <w:jc w:val="both"/>
      </w:pPr>
      <w:hyperlink w:history="1" r:id="rIdf6shldggrzrht-wys4k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июля 2016 года № 373 образован Государственный комитет информационных технологий и связи Кыргызской Республики (далее ГКИТС) на базе Государственного агентства связи при Правительстве Кыргызской Республики и Центра электронного управления при Правительстве Кыргызской Республики.</w:t>
      </w:r>
    </w:p>
    <w:p>
      <w:pPr>
        <w:spacing w:after="200" w:before="200"/>
        <w:jc w:val="center"/>
      </w:pPr>
      <w:r>
        <w:rPr>
          <w:rFonts w:ascii="Arial" w:cs="Arial" w:eastAsia="Arial" w:hAnsi="Arial"/>
          <w:b/>
          <w:bCs/>
          <w:sz w:val="24"/>
          <w:szCs w:val="24"/>
        </w:rPr>
        <w:t xml:space="preserve">3.2. Анализ расходов государственного бюджета</w:t>
      </w:r>
    </w:p>
    <w:p>
      <w:pPr>
        <w:spacing w:after="200" w:before="200"/>
        <w:ind w:firstLine="567"/>
        <w:jc w:val="left"/>
      </w:pPr>
      <w:r>
        <w:rPr>
          <w:rFonts w:ascii="Arial" w:cs="Arial" w:eastAsia="Arial" w:hAnsi="Arial"/>
          <w:b/>
          <w:bCs/>
          <w:sz w:val="24"/>
          <w:szCs w:val="24"/>
        </w:rPr>
        <w:t xml:space="preserve">Рисунок 2. Динамика расходов государственного бюджета</w:t>
      </w:r>
    </w:p>
    <w:p>
      <w:pPr>
        <w:spacing w:after="60"/>
        <w:ind w:firstLine="567"/>
        <w:jc w:val="both"/>
      </w:pPr>
      <w:r>
        <w:rPr>
          <w:rFonts w:ascii="Arial" w:cs="Arial" w:eastAsia="Arial" w:hAnsi="Arial"/>
          <w:sz w:val="24"/>
          <w:szCs w:val="24"/>
        </w:rPr>
        <w:t xml:space="preserve">С 2016 по 2020 год среднегодовой рост расходов государственного бюджета составит 105,8%. Пик роста приходится на 2019 год (177,2 млрд. сомов) с незначительным снижением в 2020 году (177,0 млрд. сомов). В этот период среднегодовой рост по текущим расходам составит 106,0%. Расходы на покрытие потребностей по линии капитальных вложений, стимулирующих и долевых грантов и софинансирования государственных инвестиций в целом снизятся. Наибольшие расходы наблюдаются в 2016 году (9,0 млрд. сомов), наименьшие - в 2017 году (4,7 млрд. сомов). В целом расходы государственных инвестиций из внешних источников без учета рекредитования имеют тенденцию к росту - среднегодовой рост составляет 125,8%. Наибольшие расходы приходятся на 2019 год (31,6 млрд. сомов).</w:t>
      </w:r>
    </w:p>
    <w:p>
      <w:pPr>
        <w:spacing w:after="60"/>
        <w:ind w:firstLine="567"/>
        <w:jc w:val="both"/>
      </w:pPr>
      <w:r>
        <w:rPr>
          <w:rFonts w:ascii="Arial" w:cs="Arial" w:eastAsia="Arial" w:hAnsi="Arial"/>
          <w:sz w:val="24"/>
          <w:szCs w:val="24"/>
        </w:rPr>
        <w:t xml:space="preserve">В 2018-2020 годы прогнозируется средний рост общих расходов государственного бюджета, который составит 102,6%, при этом в 2020 году прогнозируется снижение роста на 0,2% относительно предыдущего года, что обусловлено снижением расходов на государственные инвестиции из внешних источников. Текущие расходы в этом периоде прогнозируются с ежегодным ростом в 2018-2020 годах в среднем на 2,0%, а капитальные расходы с увеличением в 2018-2019 годах - в среднем на 10,9%, при этом со снижением в 2020 году на 5,8%.</w:t>
      </w:r>
    </w:p>
    <w:p>
      <w:pPr>
        <w:spacing w:after="60"/>
        <w:ind w:firstLine="567"/>
        <w:jc w:val="both"/>
      </w:pPr>
      <w:r>
        <w:rPr>
          <w:rFonts w:ascii="Arial" w:cs="Arial" w:eastAsia="Arial" w:hAnsi="Arial"/>
          <w:sz w:val="24"/>
          <w:szCs w:val="24"/>
        </w:rPr>
        <w:t xml:space="preserve">Продолжится работа по переходу на формирование бюджета в программном формате.</w:t>
      </w:r>
    </w:p>
    <w:p>
      <w:pPr>
        <w:spacing w:after="60"/>
        <w:ind w:firstLine="567"/>
        <w:jc w:val="both"/>
      </w:pPr>
      <w:r>
        <w:rPr>
          <w:rFonts w:ascii="Arial" w:cs="Arial" w:eastAsia="Arial" w:hAnsi="Arial"/>
          <w:sz w:val="24"/>
          <w:szCs w:val="24"/>
        </w:rPr>
        <w:t xml:space="preserve">В 2016 году с целью повышения прозрачности бюджетной информации:</w:t>
      </w:r>
    </w:p>
    <w:p>
      <w:pPr>
        <w:spacing w:after="60"/>
        <w:ind w:firstLine="567"/>
        <w:jc w:val="both"/>
      </w:pPr>
      <w:r>
        <w:rPr>
          <w:rFonts w:ascii="Arial" w:cs="Arial" w:eastAsia="Arial" w:hAnsi="Arial"/>
          <w:sz w:val="24"/>
          <w:szCs w:val="24"/>
        </w:rPr>
        <w:t xml:space="preserve">- было подготовлено "Бюджетное заявление" Правительства Кыргызской Республики с основными направлениями бюджетно-налоговой политики на 2017-2019 годы;</w:t>
      </w:r>
    </w:p>
    <w:p>
      <w:pPr>
        <w:spacing w:after="60"/>
        <w:ind w:firstLine="567"/>
        <w:jc w:val="both"/>
      </w:pPr>
      <w:r>
        <w:rPr>
          <w:rFonts w:ascii="Arial" w:cs="Arial" w:eastAsia="Arial" w:hAnsi="Arial"/>
          <w:sz w:val="24"/>
          <w:szCs w:val="24"/>
        </w:rPr>
        <w:t xml:space="preserve">- были проведены общественные слушания по проекту бюджета на 2017-2019 годы до его рассмотрения на заседании Правительства Кыргызской Республики в городах Ош, Джалал-Абад, Нарын, Каракол. В городе Бишкек проведены общественные слушания по проекту республиканского на 2017-2019 годы с участием представителей государственных органов, гражданского и экспертного сообщества;</w:t>
      </w:r>
    </w:p>
    <w:p>
      <w:pPr>
        <w:spacing w:after="60"/>
        <w:ind w:firstLine="567"/>
        <w:jc w:val="both"/>
      </w:pPr>
      <w:r>
        <w:rPr>
          <w:rFonts w:ascii="Arial" w:cs="Arial" w:eastAsia="Arial" w:hAnsi="Arial"/>
          <w:sz w:val="24"/>
          <w:szCs w:val="24"/>
        </w:rPr>
        <w:t xml:space="preserve">- </w:t>
      </w:r>
      <w:hyperlink w:history="1" r:id="rIdd8uxleinkodr4aimcso6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2016 года одобрена </w:t>
      </w:r>
      <w:hyperlink w:history="1" r:id="rIdztbihjzp0a6kegyeggu91">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управления государственными финансами в Кыргызской Республике на 2017-2025 годы.</w:t>
      </w:r>
    </w:p>
    <w:p>
      <w:pPr>
        <w:spacing w:after="60"/>
        <w:ind w:firstLine="567"/>
        <w:jc w:val="both"/>
      </w:pPr>
      <w:r>
        <w:rPr>
          <w:rFonts w:ascii="Arial" w:cs="Arial" w:eastAsia="Arial" w:hAnsi="Arial"/>
          <w:sz w:val="24"/>
          <w:szCs w:val="24"/>
        </w:rPr>
        <w:t xml:space="preserve">В рамках реформирования Системы управления государственными финансами:</w:t>
      </w:r>
    </w:p>
    <w:p>
      <w:pPr>
        <w:spacing w:after="60"/>
        <w:ind w:firstLine="567"/>
        <w:jc w:val="both"/>
      </w:pPr>
      <w:r>
        <w:rPr>
          <w:rFonts w:ascii="Arial" w:cs="Arial" w:eastAsia="Arial" w:hAnsi="Arial"/>
          <w:sz w:val="24"/>
          <w:szCs w:val="24"/>
        </w:rPr>
        <w:t xml:space="preserve">- принят </w:t>
      </w:r>
      <w:hyperlink w:history="1" r:id="rIdjh9lihc4w0rlcibxqxbm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Бюджетном кодексе Кыргызской Республики" от 16 мая 2016 года № 60;</w:t>
      </w:r>
    </w:p>
    <w:p>
      <w:pPr>
        <w:spacing w:after="60"/>
        <w:ind w:firstLine="567"/>
        <w:jc w:val="both"/>
      </w:pPr>
      <w:r>
        <w:rPr>
          <w:rFonts w:ascii="Arial" w:cs="Arial" w:eastAsia="Arial" w:hAnsi="Arial"/>
          <w:sz w:val="24"/>
          <w:szCs w:val="24"/>
        </w:rPr>
        <w:t xml:space="preserve">- разработан и утвержден Гражданский бюджет на 2017 год;</w:t>
      </w:r>
    </w:p>
    <w:p>
      <w:pPr>
        <w:spacing w:after="60"/>
        <w:ind w:firstLine="567"/>
        <w:jc w:val="both"/>
      </w:pPr>
      <w:r>
        <w:rPr>
          <w:rFonts w:ascii="Arial" w:cs="Arial" w:eastAsia="Arial" w:hAnsi="Arial"/>
          <w:sz w:val="24"/>
          <w:szCs w:val="24"/>
        </w:rPr>
        <w:t xml:space="preserve">- запущен в действие Единый казначейский счет;</w:t>
      </w:r>
    </w:p>
    <w:p>
      <w:pPr>
        <w:spacing w:after="60"/>
        <w:ind w:firstLine="567"/>
        <w:jc w:val="both"/>
      </w:pPr>
      <w:r>
        <w:rPr>
          <w:rFonts w:ascii="Arial" w:cs="Arial" w:eastAsia="Arial" w:hAnsi="Arial"/>
          <w:sz w:val="24"/>
          <w:szCs w:val="24"/>
        </w:rPr>
        <w:t xml:space="preserve">- внедрена система обязательной регистрации контрактов по обязательствам в рамках казначейских процедур;</w:t>
      </w:r>
    </w:p>
    <w:p>
      <w:pPr>
        <w:spacing w:after="60"/>
        <w:ind w:firstLine="567"/>
        <w:jc w:val="both"/>
      </w:pPr>
      <w:r>
        <w:rPr>
          <w:rFonts w:ascii="Arial" w:cs="Arial" w:eastAsia="Arial" w:hAnsi="Arial"/>
          <w:sz w:val="24"/>
          <w:szCs w:val="24"/>
        </w:rPr>
        <w:t xml:space="preserve">- проведены мероприятия по оптимизации счетов Правительства Кыргызской Республики в Национальном банке Кыргызской Республики;</w:t>
      </w:r>
    </w:p>
    <w:p>
      <w:pPr>
        <w:spacing w:after="60"/>
        <w:ind w:firstLine="567"/>
        <w:jc w:val="both"/>
      </w:pPr>
      <w:r>
        <w:rPr>
          <w:rFonts w:ascii="Arial" w:cs="Arial" w:eastAsia="Arial" w:hAnsi="Arial"/>
          <w:sz w:val="24"/>
          <w:szCs w:val="24"/>
        </w:rPr>
        <w:t xml:space="preserve">- в целях совершенствования бюджетного процесса введена система "карточки бюджетополучателя".</w:t>
      </w:r>
    </w:p>
    <w:p>
      <w:pPr>
        <w:spacing w:after="60"/>
        <w:ind w:firstLine="567"/>
        <w:jc w:val="both"/>
      </w:pPr>
      <w:r>
        <w:rPr>
          <w:rFonts w:ascii="Arial" w:cs="Arial" w:eastAsia="Arial" w:hAnsi="Arial"/>
          <w:sz w:val="24"/>
          <w:szCs w:val="24"/>
        </w:rPr>
        <w:t xml:space="preserve">Министерством финансов Кыргызской Республики подготовлена нормативная правовая база под усовершенствованную систему казначейства, функционирующую при реализации единого казначейского счета (ЕКС):</w:t>
      </w:r>
    </w:p>
    <w:p>
      <w:pPr>
        <w:spacing w:after="60"/>
        <w:ind w:firstLine="567"/>
        <w:jc w:val="both"/>
      </w:pPr>
      <w:r>
        <w:rPr>
          <w:rFonts w:ascii="Arial" w:cs="Arial" w:eastAsia="Arial" w:hAnsi="Arial"/>
          <w:sz w:val="24"/>
          <w:szCs w:val="24"/>
        </w:rPr>
        <w:t xml:space="preserve">- Временная инструкция о порядке функционирования ЕКС Центрального казначейства Министерства финансов Кыргызской Республики;</w:t>
      </w:r>
    </w:p>
    <w:p>
      <w:pPr>
        <w:spacing w:after="60"/>
        <w:ind w:firstLine="567"/>
        <w:jc w:val="both"/>
      </w:pPr>
      <w:r>
        <w:rPr>
          <w:rFonts w:ascii="Arial" w:cs="Arial" w:eastAsia="Arial" w:hAnsi="Arial"/>
          <w:sz w:val="24"/>
          <w:szCs w:val="24"/>
        </w:rPr>
        <w:t xml:space="preserve">- Единый План счетов (ЕПС) и Руководство по применению ЕПС сектором государственного управления;</w:t>
      </w:r>
    </w:p>
    <w:p>
      <w:pPr>
        <w:spacing w:after="60"/>
        <w:ind w:firstLine="567"/>
        <w:jc w:val="both"/>
      </w:pPr>
      <w:r>
        <w:rPr>
          <w:rFonts w:ascii="Arial" w:cs="Arial" w:eastAsia="Arial" w:hAnsi="Arial"/>
          <w:sz w:val="24"/>
          <w:szCs w:val="24"/>
        </w:rPr>
        <w:t xml:space="preserve">- Протокол взаимодействия между Министерством финансов Кыргызской Республики и Национальным банком Кыргызской Республики по функционированию ЕКС Центрального казначейства Министерства финансов Кыргызской Республики;</w:t>
      </w:r>
    </w:p>
    <w:p>
      <w:pPr>
        <w:spacing w:after="60"/>
        <w:ind w:firstLine="567"/>
        <w:jc w:val="both"/>
      </w:pPr>
      <w:r>
        <w:rPr>
          <w:rFonts w:ascii="Arial" w:cs="Arial" w:eastAsia="Arial" w:hAnsi="Arial"/>
          <w:sz w:val="24"/>
          <w:szCs w:val="24"/>
        </w:rPr>
        <w:t xml:space="preserve">- Инструкция по формированию, рассмотрению и исполнению бюджетов на программной основе;</w:t>
      </w:r>
    </w:p>
    <w:p>
      <w:pPr>
        <w:spacing w:after="60"/>
        <w:ind w:firstLine="567"/>
        <w:jc w:val="both"/>
      </w:pPr>
      <w:r>
        <w:rPr>
          <w:rFonts w:ascii="Arial" w:cs="Arial" w:eastAsia="Arial" w:hAnsi="Arial"/>
          <w:sz w:val="24"/>
          <w:szCs w:val="24"/>
        </w:rPr>
        <w:t xml:space="preserve">- Инструкция по формированию, рассмотрению и исполнению Среднесрочных стратегий бюджетных расходов;</w:t>
      </w:r>
    </w:p>
    <w:p>
      <w:pPr>
        <w:spacing w:after="60"/>
        <w:ind w:firstLine="567"/>
        <w:jc w:val="both"/>
      </w:pPr>
      <w:r>
        <w:rPr>
          <w:rFonts w:ascii="Arial" w:cs="Arial" w:eastAsia="Arial" w:hAnsi="Arial"/>
          <w:sz w:val="24"/>
          <w:szCs w:val="24"/>
        </w:rPr>
        <w:t xml:space="preserve">- Инструкция по определению индикаторов результативности бюджетных программ и мер.</w:t>
      </w:r>
    </w:p>
    <w:p>
      <w:pPr>
        <w:spacing w:after="60"/>
        <w:ind w:firstLine="567"/>
        <w:jc w:val="both"/>
      </w:pPr>
      <w:r>
        <w:rPr>
          <w:rFonts w:ascii="Arial" w:cs="Arial" w:eastAsia="Arial" w:hAnsi="Arial"/>
          <w:sz w:val="24"/>
          <w:szCs w:val="24"/>
        </w:rPr>
        <w:t xml:space="preserve">ОНФП на 2018-2020 годы формировались с учетом приоритетных направлений в отраслях экономики страны, которые обозначены в </w:t>
      </w:r>
      <w:hyperlink w:history="1" r:id="rIdim8yc95ffepxjh7bdcb11">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а также других стратегических и программных, отраслевых документах.</w:t>
      </w:r>
    </w:p>
    <w:p>
      <w:pPr>
        <w:spacing w:after="200" w:before="200"/>
        <w:jc w:val="center"/>
      </w:pPr>
      <w:r>
        <w:rPr>
          <w:rFonts w:ascii="Arial" w:cs="Arial" w:eastAsia="Arial" w:hAnsi="Arial"/>
          <w:b/>
          <w:bCs/>
          <w:sz w:val="24"/>
          <w:szCs w:val="24"/>
        </w:rPr>
        <w:t xml:space="preserve">3.3. Межотраслевое распределение расходов</w:t>
      </w:r>
    </w:p>
    <w:p>
      <w:pPr>
        <w:spacing w:after="60"/>
        <w:ind w:firstLine="567"/>
        <w:jc w:val="both"/>
      </w:pPr>
      <w:r>
        <w:rPr>
          <w:rFonts w:ascii="Arial" w:cs="Arial" w:eastAsia="Arial" w:hAnsi="Arial"/>
          <w:sz w:val="24"/>
          <w:szCs w:val="24"/>
        </w:rPr>
        <w:t xml:space="preserve">В таблице 6 приложения к ОНФП на 2018-2020 годы представлено распределение совокупных расходов государственного бюджета Кыргызской Республики на 2018-2020 годы по основным разделам государственных расходов в соответствии с приоритетами, определенными в Национальной стратегии устойчивого развития Кыргызской Республики на период 2013-2017 годы.</w:t>
      </w:r>
    </w:p>
    <w:p>
      <w:pPr>
        <w:spacing w:after="60"/>
        <w:ind w:firstLine="567"/>
        <w:jc w:val="both"/>
      </w:pPr>
      <w:r>
        <w:rPr>
          <w:rFonts w:ascii="Arial" w:cs="Arial" w:eastAsia="Arial" w:hAnsi="Arial"/>
          <w:sz w:val="24"/>
          <w:szCs w:val="24"/>
        </w:rPr>
        <w:t xml:space="preserve">В период 2018-2020 годов расходы государственного бюджета (с учетом финансовых активов) вместе с Социальным фондом Кыргызской Республики прогнозируются с ростом в среднем 101,6% ежегодно. Рост текущих расходов государственного бюджета в период 2018-2020 годов составит в среднем 102,0% в год. По инвестиционным расходам из внешних источников в среднесрочный период прогнозируется снижение в среднем на 2,5%. Инвестиционные расходы из внутренних источников прогнозируются в 2018 году с замедлением темпов роста, но к 2020 году с ростом в 102,0%.</w:t>
      </w:r>
    </w:p>
    <w:p>
      <w:pPr>
        <w:spacing w:after="60"/>
        <w:ind w:firstLine="567"/>
        <w:jc w:val="both"/>
      </w:pPr>
      <w:r>
        <w:rPr>
          <w:rFonts w:ascii="Arial" w:cs="Arial" w:eastAsia="Arial" w:hAnsi="Arial"/>
          <w:sz w:val="24"/>
          <w:szCs w:val="24"/>
        </w:rPr>
        <w:t xml:space="preserve">Социальная направленность бюджета в 2016-2020 годах ярко выражена на рисунке 3, где доля социального сектора занимает около 50% в общих расходах государственного бюджета. Наблюдается ежегодный рост расходов социальных секторов в среднем за год в сферах: здравоохранения - 103,1%, образования - 104,7%, социальной защиты - 106,2%, и культуры - 104,5%. В целом такой рост поддерживается как за счет ежегодного роста текущих расходов, так и за счет инвестиционных расходов.</w:t>
      </w:r>
    </w:p>
    <w:p>
      <w:pPr>
        <w:spacing w:after="200" w:before="200"/>
        <w:ind w:firstLine="567"/>
        <w:jc w:val="left"/>
      </w:pPr>
      <w:r>
        <w:rPr>
          <w:rFonts w:ascii="Arial" w:cs="Arial" w:eastAsia="Arial" w:hAnsi="Arial"/>
          <w:b/>
          <w:bCs/>
          <w:sz w:val="24"/>
          <w:szCs w:val="24"/>
        </w:rPr>
        <w:t xml:space="preserve">Рисунок 3. Структура расходов по секторам (млрд. сомов)</w:t>
      </w:r>
    </w:p>
    <w:p>
      <w:pPr>
        <w:spacing w:after="60"/>
        <w:ind w:firstLine="567"/>
        <w:jc w:val="both"/>
      </w:pPr>
      <w:r>
        <w:rPr>
          <w:rFonts w:ascii="Arial" w:cs="Arial" w:eastAsia="Arial" w:hAnsi="Arial"/>
          <w:sz w:val="24"/>
          <w:szCs w:val="24"/>
        </w:rPr>
        <w:t xml:space="preserve">Доля социальных секторов в общих расходах государственного бюджета все еще остается высокой в секторах: образования - 20,3% в 2020 году, отдыха и культуры - 2,0%, здравоохранения - 8,3% и социальной защиты - 18,2%.</w:t>
      </w:r>
    </w:p>
    <w:p>
      <w:pPr>
        <w:spacing w:after="60"/>
        <w:ind w:firstLine="567"/>
        <w:jc w:val="both"/>
      </w:pPr>
      <w:r>
        <w:rPr>
          <w:rFonts w:ascii="Arial" w:cs="Arial" w:eastAsia="Arial" w:hAnsi="Arial"/>
          <w:sz w:val="24"/>
          <w:szCs w:val="24"/>
        </w:rPr>
        <w:t xml:space="preserve">Доля государственного сектора в общих расходах сохранится на уровне 21,7% в 2020 году. При этом ежегодный рост общих расходов данного раздела составит в среднем 101,8%.</w:t>
      </w:r>
    </w:p>
    <w:p>
      <w:pPr>
        <w:spacing w:after="60"/>
        <w:ind w:firstLine="567"/>
        <w:jc w:val="both"/>
      </w:pPr>
      <w:r>
        <w:rPr>
          <w:rFonts w:ascii="Arial" w:cs="Arial" w:eastAsia="Arial" w:hAnsi="Arial"/>
          <w:sz w:val="24"/>
          <w:szCs w:val="24"/>
        </w:rPr>
        <w:t xml:space="preserve">По разделу "Экономические вопросы" его доля в общих расходах снизится с 28,3% в 2018 году до 25,7% в 2020 году.</w:t>
      </w:r>
    </w:p>
    <w:p>
      <w:pPr>
        <w:spacing w:after="60"/>
        <w:ind w:firstLine="567"/>
        <w:jc w:val="both"/>
      </w:pPr>
      <w:r>
        <w:rPr>
          <w:rFonts w:ascii="Arial" w:cs="Arial" w:eastAsia="Arial" w:hAnsi="Arial"/>
          <w:sz w:val="24"/>
          <w:szCs w:val="24"/>
        </w:rPr>
        <w:t xml:space="preserve">С 2018 по 2020 год увеличение предусмотрено по разделам "охрана окружающей среды" и "жилищно-коммунальные услуги": в среднем в год 100,5% и 101,4% соответственно.</w:t>
      </w:r>
    </w:p>
    <w:p>
      <w:pPr>
        <w:spacing w:after="60"/>
        <w:ind w:firstLine="567"/>
        <w:jc w:val="both"/>
      </w:pPr>
      <w:r>
        <w:rPr>
          <w:rFonts w:ascii="Arial" w:cs="Arial" w:eastAsia="Arial" w:hAnsi="Arial"/>
          <w:sz w:val="24"/>
          <w:szCs w:val="24"/>
        </w:rPr>
        <w:t xml:space="preserve">Общие расходы государственного бюджета с учетом финансовых активов прогнозируются в 2018 году - 186,7 млрд. сомов (37,8% к ВВП), 2019 году - 188,9 млрд. сомов (38,2% к ВВП), в 2020 году - 183,0 млрд. сомов (37,0% к ВВП). Прогнозируется снижение дефицита государственного бюджета с 4,4% к ВВП в 2018 году, 3,8% к ВВП в 2019 году, до 3,1% к ВВП в 2020 году.</w:t>
      </w:r>
    </w:p>
    <w:p>
      <w:pPr>
        <w:spacing w:after="60"/>
        <w:ind w:firstLine="567"/>
        <w:jc w:val="both"/>
      </w:pPr>
      <w:r>
        <w:rPr>
          <w:rFonts w:ascii="Arial" w:cs="Arial" w:eastAsia="Arial" w:hAnsi="Arial"/>
          <w:sz w:val="24"/>
          <w:szCs w:val="24"/>
        </w:rPr>
        <w:t xml:space="preserve">В процессе определения отраслевых потолков в среднесрочном периоде в первую очередь принимались во внимание приоритеты, обозначенные в </w:t>
      </w:r>
      <w:hyperlink w:history="1" r:id="rIdrjanruydgdxdnzu3j_v-k">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а также учитывались аргументы отраслевых стратегий по финансированию отраслевых программ. Необходимо усилить работу в отраслях по дальнейшей пиритизации программ с целью более точного планирования и повышения эффективности бюджетных расходов.</w:t>
      </w:r>
    </w:p>
    <w:p>
      <w:pPr>
        <w:spacing w:after="200" w:before="200"/>
        <w:jc w:val="center"/>
      </w:pPr>
      <w:r>
        <w:rPr>
          <w:rFonts w:ascii="Arial" w:cs="Arial" w:eastAsia="Arial" w:hAnsi="Arial"/>
          <w:b/>
          <w:bCs/>
          <w:sz w:val="24"/>
          <w:szCs w:val="24"/>
        </w:rPr>
        <w:t xml:space="preserve">3.4. Проблемные моменты в государственном бюджете</w:t>
      </w:r>
    </w:p>
    <w:p>
      <w:pPr>
        <w:spacing w:after="60"/>
        <w:ind w:firstLine="567"/>
        <w:jc w:val="both"/>
      </w:pPr>
      <w:r>
        <w:rPr>
          <w:rFonts w:ascii="Arial" w:cs="Arial" w:eastAsia="Arial" w:hAnsi="Arial"/>
          <w:sz w:val="24"/>
          <w:szCs w:val="24"/>
        </w:rPr>
        <w:t xml:space="preserve">Кризисные явления в экономике, как в республике, так и в мировой экономике негативным образом влияют на государственный бюджет и усугубляют имеющиеся проблемы в этой сфере. Требуют безотлагательного разрешения следующие проблемы:</w:t>
      </w:r>
    </w:p>
    <w:p>
      <w:pPr>
        <w:spacing w:after="60"/>
        <w:ind w:firstLine="567"/>
        <w:jc w:val="both"/>
      </w:pPr>
      <w:r>
        <w:rPr>
          <w:rFonts w:ascii="Arial" w:cs="Arial" w:eastAsia="Arial" w:hAnsi="Arial"/>
          <w:sz w:val="24"/>
          <w:szCs w:val="24"/>
        </w:rPr>
        <w:t xml:space="preserve">- наличие значительного дефицита республиканского бюджета (в 2017 году 4,7% к ВВП);</w:t>
      </w:r>
    </w:p>
    <w:p>
      <w:pPr>
        <w:spacing w:after="60"/>
        <w:ind w:firstLine="567"/>
        <w:jc w:val="both"/>
      </w:pPr>
      <w:r>
        <w:rPr>
          <w:rFonts w:ascii="Arial" w:cs="Arial" w:eastAsia="Arial" w:hAnsi="Arial"/>
          <w:sz w:val="24"/>
          <w:szCs w:val="24"/>
        </w:rPr>
        <w:t xml:space="preserve">- необходимость сдерживания государственного долга;</w:t>
      </w:r>
    </w:p>
    <w:p>
      <w:pPr>
        <w:spacing w:after="60"/>
        <w:ind w:firstLine="567"/>
        <w:jc w:val="both"/>
      </w:pPr>
      <w:r>
        <w:rPr>
          <w:rFonts w:ascii="Arial" w:cs="Arial" w:eastAsia="Arial" w:hAnsi="Arial"/>
          <w:sz w:val="24"/>
          <w:szCs w:val="24"/>
        </w:rPr>
        <w:t xml:space="preserve">- большая зависимость республиканского бюджета от внешних источников финансирования;</w:t>
      </w:r>
    </w:p>
    <w:p>
      <w:pPr>
        <w:spacing w:after="60"/>
        <w:ind w:firstLine="567"/>
        <w:jc w:val="both"/>
      </w:pPr>
      <w:r>
        <w:rPr>
          <w:rFonts w:ascii="Arial" w:cs="Arial" w:eastAsia="Arial" w:hAnsi="Arial"/>
          <w:sz w:val="24"/>
          <w:szCs w:val="24"/>
        </w:rPr>
        <w:t xml:space="preserve">- слаборазвитая система заимствования из внутренних источников;</w:t>
      </w:r>
    </w:p>
    <w:p>
      <w:pPr>
        <w:spacing w:after="60"/>
        <w:ind w:firstLine="567"/>
        <w:jc w:val="both"/>
      </w:pPr>
      <w:r>
        <w:rPr>
          <w:rFonts w:ascii="Arial" w:cs="Arial" w:eastAsia="Arial" w:hAnsi="Arial"/>
          <w:sz w:val="24"/>
          <w:szCs w:val="24"/>
        </w:rPr>
        <w:t xml:space="preserve">- недостаточность средств бюджета развития для реализации проектов, способствующих экономическому росту;</w:t>
      </w:r>
    </w:p>
    <w:p>
      <w:pPr>
        <w:spacing w:after="60"/>
        <w:ind w:firstLine="567"/>
        <w:jc w:val="both"/>
      </w:pPr>
      <w:r>
        <w:rPr>
          <w:rFonts w:ascii="Arial" w:cs="Arial" w:eastAsia="Arial" w:hAnsi="Arial"/>
          <w:sz w:val="24"/>
          <w:szCs w:val="24"/>
        </w:rPr>
        <w:t xml:space="preserve">- принятие нормативных правовых актов, не подкрепленных источниками финансирования, требующих изыскания дополнительных денежных средств;</w:t>
      </w:r>
    </w:p>
    <w:p>
      <w:pPr>
        <w:spacing w:after="60"/>
        <w:ind w:firstLine="567"/>
        <w:jc w:val="both"/>
      </w:pPr>
      <w:r>
        <w:rPr>
          <w:rFonts w:ascii="Arial" w:cs="Arial" w:eastAsia="Arial" w:hAnsi="Arial"/>
          <w:sz w:val="24"/>
          <w:szCs w:val="24"/>
        </w:rPr>
        <w:t xml:space="preserve">- социальная направленность государственного бюджета (доля от общих расходов около 50%), за счет сдерживания роста бюджета развития;</w:t>
      </w:r>
    </w:p>
    <w:p>
      <w:pPr>
        <w:spacing w:after="60"/>
        <w:ind w:firstLine="567"/>
        <w:jc w:val="both"/>
      </w:pPr>
      <w:r>
        <w:rPr>
          <w:rFonts w:ascii="Arial" w:cs="Arial" w:eastAsia="Arial" w:hAnsi="Arial"/>
          <w:sz w:val="24"/>
          <w:szCs w:val="24"/>
        </w:rPr>
        <w:t xml:space="preserve">- неравномерное (поквартальное) поступление ресурсов в бюджет в течение года;</w:t>
      </w:r>
    </w:p>
    <w:p>
      <w:pPr>
        <w:spacing w:after="60"/>
        <w:ind w:firstLine="567"/>
        <w:jc w:val="both"/>
      </w:pPr>
      <w:r>
        <w:rPr>
          <w:rFonts w:ascii="Arial" w:cs="Arial" w:eastAsia="Arial" w:hAnsi="Arial"/>
          <w:sz w:val="24"/>
          <w:szCs w:val="24"/>
        </w:rPr>
        <w:t xml:space="preserve">- значительное увеличение нагрузки на бюджет в определенные периоды, связанное с ликвидацией последствий чрезвычайных ситуаций, сезонностью выполнения работ (осенне-зимний отопительный период, весенне-полевые работы и другие);</w:t>
      </w:r>
    </w:p>
    <w:p>
      <w:pPr>
        <w:spacing w:after="60"/>
        <w:ind w:firstLine="567"/>
        <w:jc w:val="both"/>
      </w:pPr>
      <w:r>
        <w:rPr>
          <w:rFonts w:ascii="Arial" w:cs="Arial" w:eastAsia="Arial" w:hAnsi="Arial"/>
          <w:sz w:val="24"/>
          <w:szCs w:val="24"/>
        </w:rPr>
        <w:t xml:space="preserve">- ограниченность прогнозных ресурсов на 2018 год повлекла:</w:t>
      </w:r>
    </w:p>
    <w:p>
      <w:pPr>
        <w:spacing w:after="60"/>
        <w:ind w:firstLine="567"/>
        <w:jc w:val="both"/>
      </w:pPr>
      <w:r>
        <w:rPr>
          <w:rFonts w:ascii="Arial" w:cs="Arial" w:eastAsia="Arial" w:hAnsi="Arial"/>
          <w:sz w:val="24"/>
          <w:szCs w:val="24"/>
        </w:rPr>
        <w:t xml:space="preserve">1) отсрочку завершения объектов капитального строительства;</w:t>
      </w:r>
    </w:p>
    <w:p>
      <w:pPr>
        <w:spacing w:after="60"/>
        <w:ind w:firstLine="567"/>
        <w:jc w:val="both"/>
      </w:pPr>
      <w:r>
        <w:rPr>
          <w:rFonts w:ascii="Arial" w:cs="Arial" w:eastAsia="Arial" w:hAnsi="Arial"/>
          <w:sz w:val="24"/>
          <w:szCs w:val="24"/>
        </w:rPr>
        <w:t xml:space="preserve">2) выделение не в полном объеме средств на взносы международным организациям (требуется порядка 600,0 млн. сомов, предусмотрено 450,0 млн. сомов);</w:t>
      </w:r>
    </w:p>
    <w:p>
      <w:pPr>
        <w:spacing w:after="60"/>
        <w:ind w:firstLine="567"/>
        <w:jc w:val="both"/>
      </w:pPr>
      <w:r>
        <w:rPr>
          <w:rFonts w:ascii="Arial" w:cs="Arial" w:eastAsia="Arial" w:hAnsi="Arial"/>
          <w:sz w:val="24"/>
          <w:szCs w:val="24"/>
        </w:rPr>
        <w:t xml:space="preserve">3) выделение не в полном объеме средств на возмещение НДС (требуется порядка 1500,0 млн. сомов, предусмотрен 1000,0 млн. сомов).</w:t>
      </w:r>
    </w:p>
    <w:p>
      <w:pPr>
        <w:spacing w:after="60"/>
        <w:ind w:firstLine="567"/>
        <w:jc w:val="both"/>
      </w:pPr>
      <w:r>
        <w:rPr>
          <w:rFonts w:ascii="Arial" w:cs="Arial" w:eastAsia="Arial" w:hAnsi="Arial"/>
          <w:sz w:val="24"/>
          <w:szCs w:val="24"/>
        </w:rPr>
        <w:t xml:space="preserve">Остаются нерешенными проблемы:</w:t>
      </w:r>
    </w:p>
    <w:p>
      <w:pPr>
        <w:spacing w:after="60"/>
        <w:ind w:firstLine="567"/>
        <w:jc w:val="both"/>
      </w:pPr>
      <w:r>
        <w:rPr>
          <w:rFonts w:ascii="Arial" w:cs="Arial" w:eastAsia="Arial" w:hAnsi="Arial"/>
          <w:sz w:val="24"/>
          <w:szCs w:val="24"/>
        </w:rPr>
        <w:t xml:space="preserve">- большая зависимость местного бюджета от республиканского (дотационный характер межбюджетных взаимоотношений);</w:t>
      </w:r>
    </w:p>
    <w:p>
      <w:pPr>
        <w:spacing w:after="60"/>
        <w:ind w:firstLine="567"/>
        <w:jc w:val="both"/>
      </w:pPr>
      <w:r>
        <w:rPr>
          <w:rFonts w:ascii="Arial" w:cs="Arial" w:eastAsia="Arial" w:hAnsi="Arial"/>
          <w:sz w:val="24"/>
          <w:szCs w:val="24"/>
        </w:rPr>
        <w:t xml:space="preserve">- низкая заработная плата государственных и муниципальных служащих, что влияет на слабую мотивацию к повышению производительности труда;</w:t>
      </w:r>
    </w:p>
    <w:p>
      <w:pPr>
        <w:spacing w:after="60"/>
        <w:ind w:firstLine="567"/>
        <w:jc w:val="both"/>
      </w:pPr>
      <w:r>
        <w:rPr>
          <w:rFonts w:ascii="Arial" w:cs="Arial" w:eastAsia="Arial" w:hAnsi="Arial"/>
          <w:sz w:val="24"/>
          <w:szCs w:val="24"/>
        </w:rPr>
        <w:t xml:space="preserve">- недостаток финансирования текущих расходов министерств и ведомств, что побуждает представлять министерствами и ведомствами завышенные заявки к проекту бюджета на следующий год.</w:t>
      </w:r>
    </w:p>
    <w:p>
      <w:pPr>
        <w:spacing w:after="200" w:before="200"/>
        <w:jc w:val="center"/>
      </w:pPr>
      <w:r>
        <w:rPr>
          <w:rFonts w:ascii="Arial" w:cs="Arial" w:eastAsia="Arial" w:hAnsi="Arial"/>
          <w:b/>
          <w:bCs/>
          <w:sz w:val="24"/>
          <w:szCs w:val="24"/>
        </w:rPr>
        <w:t xml:space="preserve">3.5. Основные задачи и стратегические приоритеты государственных расходов</w:t>
      </w:r>
    </w:p>
    <w:p>
      <w:pPr>
        <w:spacing w:after="60"/>
        <w:ind w:firstLine="567"/>
        <w:jc w:val="both"/>
      </w:pPr>
      <w:r>
        <w:rPr>
          <w:rFonts w:ascii="Arial" w:cs="Arial" w:eastAsia="Arial" w:hAnsi="Arial"/>
          <w:sz w:val="24"/>
          <w:szCs w:val="24"/>
        </w:rPr>
        <w:t xml:space="preserve">При выполнении своих функций государство несет различные расходы, приоритетность которых в ОНФП на 2018-2020 годы определена следующим образом:</w:t>
      </w:r>
    </w:p>
    <w:p>
      <w:pPr>
        <w:spacing w:after="60"/>
        <w:ind w:firstLine="567"/>
        <w:jc w:val="both"/>
      </w:pPr>
      <w:r>
        <w:rPr>
          <w:rFonts w:ascii="Arial" w:cs="Arial" w:eastAsia="Arial" w:hAnsi="Arial"/>
          <w:sz w:val="24"/>
          <w:szCs w:val="24"/>
        </w:rPr>
        <w:t xml:space="preserve">1) расходы на социальные цели, такие, как социальное обеспечение (выплата пенсий, стипендий, пособий), образование, здравоохранение, развитие прикладной науки;</w:t>
      </w:r>
    </w:p>
    <w:p>
      <w:pPr>
        <w:spacing w:after="60"/>
        <w:ind w:firstLine="567"/>
        <w:jc w:val="both"/>
      </w:pPr>
      <w:r>
        <w:rPr>
          <w:rFonts w:ascii="Arial" w:cs="Arial" w:eastAsia="Arial" w:hAnsi="Arial"/>
          <w:sz w:val="24"/>
          <w:szCs w:val="24"/>
        </w:rPr>
        <w:t xml:space="preserve">2) расходы на экономические цели, в том числе расходы на содержание и обеспечение функционирования государственного сектора экономики, помощь (субсидирование) частному сектору экономики, охрана окружающей среды;</w:t>
      </w:r>
    </w:p>
    <w:p>
      <w:pPr>
        <w:spacing w:after="60"/>
        <w:ind w:firstLine="567"/>
        <w:jc w:val="both"/>
      </w:pPr>
      <w:r>
        <w:rPr>
          <w:rFonts w:ascii="Arial" w:cs="Arial" w:eastAsia="Arial" w:hAnsi="Arial"/>
          <w:sz w:val="24"/>
          <w:szCs w:val="24"/>
        </w:rPr>
        <w:t xml:space="preserve">3) расходы на общегосударственные цели: расходы на обеспечение национальной обороны и безопасности и государственного аппарата.</w:t>
      </w:r>
    </w:p>
    <w:p>
      <w:pPr>
        <w:spacing w:after="60"/>
        <w:ind w:firstLine="567"/>
        <w:jc w:val="both"/>
      </w:pPr>
      <w:r>
        <w:rPr>
          <w:rFonts w:ascii="Arial" w:cs="Arial" w:eastAsia="Arial" w:hAnsi="Arial"/>
          <w:sz w:val="24"/>
          <w:szCs w:val="24"/>
        </w:rPr>
        <w:t xml:space="preserve">Приоритеты государственных расходов в среднесрочном периоде определяются согласно реализуемым в стране государственным программам и национальным стратегиям (</w:t>
      </w:r>
      <w:hyperlink w:history="1" r:id="rIdkdxybll0_w0cm-zxjswlx">
        <w:r>
          <w:rPr>
            <w:rFonts w:ascii="Arial" w:cs="Arial" w:eastAsia="Arial" w:hAnsi="Arial"/>
            <w:color w:val="1D4ED8"/>
            <w:sz w:val="24"/>
            <w:szCs w:val="24"/>
            <w:u w:val="single"/>
          </w:rPr>
          <w:t xml:space="preserve">Национальная стратегия</w:t>
        </w:r>
      </w:hyperlink>
      <w:r>
        <w:rPr>
          <w:rFonts w:ascii="Arial" w:cs="Arial" w:eastAsia="Arial" w:hAnsi="Arial"/>
          <w:sz w:val="24"/>
          <w:szCs w:val="24"/>
        </w:rPr>
        <w:t xml:space="preserve"> устойчивого развития Кыргызской Республики на период 2013-2017 годы, </w:t>
      </w:r>
      <w:hyperlink w:history="1" r:id="rIds3gehuotgjmzwdlx-slbn">
        <w:r>
          <w:rPr>
            <w:rFonts w:ascii="Arial" w:cs="Arial" w:eastAsia="Arial" w:hAnsi="Arial"/>
            <w:color w:val="1D4ED8"/>
            <w:sz w:val="24"/>
            <w:szCs w:val="24"/>
            <w:u w:val="single"/>
          </w:rPr>
          <w:t xml:space="preserve">Стратегия</w:t>
        </w:r>
      </w:hyperlink>
      <w:r>
        <w:rPr>
          <w:rFonts w:ascii="Arial" w:cs="Arial" w:eastAsia="Arial" w:hAnsi="Arial"/>
          <w:sz w:val="24"/>
          <w:szCs w:val="24"/>
        </w:rPr>
        <w:t xml:space="preserve"> развития образования Кыргызской Республики на 2012-2020 годы и другие) в области социального обеспечения, улучшения государственного управления, государственных инвестиций и поддержки частного предпринимательства, и предполагает полное и своевременное финансирование социальных обязательств государства, создание благоприятных условий для экономического роста, повышение эффективности использования государственных ресурсов.</w:t>
      </w:r>
    </w:p>
    <w:p>
      <w:pPr>
        <w:spacing w:after="60"/>
        <w:ind w:firstLine="567"/>
        <w:jc w:val="both"/>
      </w:pPr>
      <w:r>
        <w:rPr>
          <w:rFonts w:ascii="Arial" w:cs="Arial" w:eastAsia="Arial" w:hAnsi="Arial"/>
          <w:sz w:val="24"/>
          <w:szCs w:val="24"/>
        </w:rPr>
        <w:t xml:space="preserve">В рамках ОНФП на 2018-2020 годы предполагается в среднесрочном периоде образование дефицита, не превышающего уровень 5,0%, будет покрываться за счет внутренних и внешних заимствований. Стратегия привлечения заимствований определяется несколькими основными факторами, - стоимостью заимствований - грантовым элементом, не превышающим 35%, и устойчивым уровнем государственного долга.</w:t>
      </w:r>
    </w:p>
    <w:p>
      <w:pPr>
        <w:spacing w:after="60"/>
        <w:ind w:firstLine="567"/>
        <w:jc w:val="both"/>
      </w:pPr>
      <w:r>
        <w:rPr>
          <w:rFonts w:ascii="Arial" w:cs="Arial" w:eastAsia="Arial" w:hAnsi="Arial"/>
          <w:sz w:val="24"/>
          <w:szCs w:val="24"/>
        </w:rPr>
        <w:t xml:space="preserve">В период 2018-2020 годов политика в сфере государственных финансов будет направлена на обеспечение эффективного и прозрачного управления государственными финансами. Реализация данной политики будет осуществляться путем совершенствования управления государственными финансами. С этой целью разработан среднесрочный план действий по управлению государственными финансами на 2017-2025 годы, утвержденный </w:t>
      </w:r>
      <w:hyperlink w:history="1" r:id="rIdreofqt_gx54bcsze4pce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2016 года № 696. Данный план действий предполагает меры по повышению эффективности использования государственных средств, такие, как усиление финансовой дисциплины, совершенствование планирования бюджета, децентрализация межбюджетных отношений, автоматизация бюджетного процесса, пошаговое внедрение программного бюджетирования, внедрение мониторинга результативности деятельности государственных органов, повышение прозрачности государственных финансов.</w:t>
      </w:r>
    </w:p>
    <w:p>
      <w:pPr>
        <w:spacing w:after="60"/>
        <w:ind w:firstLine="567"/>
        <w:jc w:val="both"/>
      </w:pPr>
      <w:r>
        <w:rPr>
          <w:rFonts w:ascii="Arial" w:cs="Arial" w:eastAsia="Arial" w:hAnsi="Arial"/>
          <w:sz w:val="24"/>
          <w:szCs w:val="24"/>
        </w:rPr>
        <w:t xml:space="preserve">Особое внимание будет уделено следующим направлениям:</w:t>
      </w:r>
    </w:p>
    <w:p>
      <w:pPr>
        <w:spacing w:after="60"/>
        <w:ind w:firstLine="567"/>
        <w:jc w:val="both"/>
      </w:pPr>
      <w:r>
        <w:rPr>
          <w:rFonts w:ascii="Arial" w:cs="Arial" w:eastAsia="Arial" w:hAnsi="Arial"/>
          <w:sz w:val="24"/>
          <w:szCs w:val="24"/>
        </w:rPr>
        <w:t xml:space="preserve">- укрепление финансовой дисциплины, ужесточение расходования министерствами и ведомствами предусмотренных в бюджете средств с их четкой приоритезацией;</w:t>
      </w:r>
    </w:p>
    <w:p>
      <w:pPr>
        <w:spacing w:after="60"/>
        <w:ind w:firstLine="567"/>
        <w:jc w:val="both"/>
      </w:pPr>
      <w:r>
        <w:rPr>
          <w:rFonts w:ascii="Arial" w:cs="Arial" w:eastAsia="Arial" w:hAnsi="Arial"/>
          <w:sz w:val="24"/>
          <w:szCs w:val="24"/>
        </w:rPr>
        <w:t xml:space="preserve">- повышение эффективности использования государственных ресурсов; обеспечение сбалансированности республиканского бюджета; исполнение реалистичного бюджета;</w:t>
      </w:r>
    </w:p>
    <w:p>
      <w:pPr>
        <w:spacing w:after="60"/>
        <w:ind w:firstLine="567"/>
        <w:jc w:val="both"/>
      </w:pPr>
      <w:r>
        <w:rPr>
          <w:rFonts w:ascii="Arial" w:cs="Arial" w:eastAsia="Arial" w:hAnsi="Arial"/>
          <w:sz w:val="24"/>
          <w:szCs w:val="24"/>
        </w:rPr>
        <w:t xml:space="preserve">- внесение системы оценок экономической эффективности использования бюджетных ресурсов;</w:t>
      </w:r>
    </w:p>
    <w:p>
      <w:pPr>
        <w:spacing w:after="60"/>
        <w:ind w:firstLine="567"/>
        <w:jc w:val="both"/>
      </w:pPr>
      <w:r>
        <w:rPr>
          <w:rFonts w:ascii="Arial" w:cs="Arial" w:eastAsia="Arial" w:hAnsi="Arial"/>
          <w:sz w:val="24"/>
          <w:szCs w:val="24"/>
        </w:rPr>
        <w:t xml:space="preserve">- внедрение подхода, ориентированного на результат, при финансировании учреждений;</w:t>
      </w:r>
    </w:p>
    <w:p>
      <w:pPr>
        <w:spacing w:after="60"/>
        <w:ind w:firstLine="567"/>
        <w:jc w:val="both"/>
      </w:pPr>
      <w:r>
        <w:rPr>
          <w:rFonts w:ascii="Arial" w:cs="Arial" w:eastAsia="Arial" w:hAnsi="Arial"/>
          <w:sz w:val="24"/>
          <w:szCs w:val="24"/>
        </w:rPr>
        <w:t xml:space="preserve">- усиление адресности социальных выплат;</w:t>
      </w:r>
    </w:p>
    <w:p>
      <w:pPr>
        <w:spacing w:after="60"/>
        <w:ind w:firstLine="567"/>
        <w:jc w:val="both"/>
      </w:pPr>
      <w:r>
        <w:rPr>
          <w:rFonts w:ascii="Arial" w:cs="Arial" w:eastAsia="Arial" w:hAnsi="Arial"/>
          <w:sz w:val="24"/>
          <w:szCs w:val="24"/>
        </w:rPr>
        <w:t xml:space="preserve">- реформы заработной платы в бюджетной сфере;</w:t>
      </w:r>
    </w:p>
    <w:p>
      <w:pPr>
        <w:spacing w:after="60"/>
        <w:ind w:firstLine="567"/>
        <w:jc w:val="both"/>
      </w:pPr>
      <w:r>
        <w:rPr>
          <w:rFonts w:ascii="Arial" w:cs="Arial" w:eastAsia="Arial" w:hAnsi="Arial"/>
          <w:sz w:val="24"/>
          <w:szCs w:val="24"/>
        </w:rPr>
        <w:t xml:space="preserve">- административные реформы;</w:t>
      </w:r>
    </w:p>
    <w:p>
      <w:pPr>
        <w:spacing w:after="60"/>
        <w:ind w:firstLine="567"/>
        <w:jc w:val="both"/>
      </w:pPr>
      <w:r>
        <w:rPr>
          <w:rFonts w:ascii="Arial" w:cs="Arial" w:eastAsia="Arial" w:hAnsi="Arial"/>
          <w:sz w:val="24"/>
          <w:szCs w:val="24"/>
        </w:rPr>
        <w:t xml:space="preserve">- совершенствование межбюджетных отношений. Поэтапное снижение дотационности местных бюджетов;</w:t>
      </w:r>
    </w:p>
    <w:p>
      <w:pPr>
        <w:spacing w:after="60"/>
        <w:ind w:firstLine="567"/>
        <w:jc w:val="both"/>
      </w:pPr>
      <w:r>
        <w:rPr>
          <w:rFonts w:ascii="Arial" w:cs="Arial" w:eastAsia="Arial" w:hAnsi="Arial"/>
          <w:sz w:val="24"/>
          <w:szCs w:val="24"/>
        </w:rPr>
        <w:t xml:space="preserve">- совершенствование бюджетного законодательства;</w:t>
      </w:r>
    </w:p>
    <w:p>
      <w:pPr>
        <w:spacing w:after="60"/>
        <w:ind w:firstLine="567"/>
        <w:jc w:val="both"/>
      </w:pPr>
      <w:r>
        <w:rPr>
          <w:rFonts w:ascii="Arial" w:cs="Arial" w:eastAsia="Arial" w:hAnsi="Arial"/>
          <w:sz w:val="24"/>
          <w:szCs w:val="24"/>
        </w:rPr>
        <w:t xml:space="preserve">- минимизация рисков через внедрение механизмов программного бюджетирования;</w:t>
      </w:r>
    </w:p>
    <w:p>
      <w:pPr>
        <w:spacing w:after="60"/>
        <w:ind w:firstLine="567"/>
        <w:jc w:val="both"/>
      </w:pPr>
      <w:r>
        <w:rPr>
          <w:rFonts w:ascii="Arial" w:cs="Arial" w:eastAsia="Arial" w:hAnsi="Arial"/>
          <w:sz w:val="24"/>
          <w:szCs w:val="24"/>
        </w:rPr>
        <w:t xml:space="preserve">- сдерживание и введение моратория на принятие новых расходных инициатив министерств и ведомств, не имеющих соответствующего подкрепления, а также введение запрета на увеличение расходных обязательств министерств и ведомств путем осуществления передвижек бюджетных ассигнований.</w:t>
      </w:r>
    </w:p>
    <w:p>
      <w:pPr>
        <w:spacing w:after="200" w:before="200"/>
        <w:jc w:val="center"/>
      </w:pPr>
      <w:r>
        <w:rPr>
          <w:rFonts w:ascii="Arial" w:cs="Arial" w:eastAsia="Arial" w:hAnsi="Arial"/>
          <w:b/>
          <w:bCs/>
          <w:sz w:val="24"/>
          <w:szCs w:val="24"/>
        </w:rPr>
        <w:t xml:space="preserve">4. Стратегия управления государственным долгом</w:t>
      </w:r>
    </w:p>
    <w:p>
      <w:pPr>
        <w:spacing w:after="200" w:before="200"/>
        <w:jc w:val="center"/>
      </w:pPr>
      <w:r>
        <w:rPr>
          <w:rFonts w:ascii="Arial" w:cs="Arial" w:eastAsia="Arial" w:hAnsi="Arial"/>
          <w:b/>
          <w:bCs/>
          <w:sz w:val="24"/>
          <w:szCs w:val="24"/>
        </w:rPr>
        <w:t xml:space="preserve">4.1. Анализ обслуживания государственного долга Кыргызской Республики за 2015-2016 годы</w:t>
      </w:r>
    </w:p>
    <w:p>
      <w:pPr>
        <w:spacing w:after="60"/>
        <w:ind w:firstLine="567"/>
        <w:jc w:val="both"/>
      </w:pPr>
      <w:r>
        <w:rPr>
          <w:rFonts w:ascii="Arial" w:cs="Arial" w:eastAsia="Arial" w:hAnsi="Arial"/>
          <w:sz w:val="24"/>
          <w:szCs w:val="24"/>
        </w:rPr>
        <w:t xml:space="preserve">Ресурсы бюджета. В 2015-2016 годах республиканский бюджет был обеспечен поступлениями средств от размещения государственных ценных бумаг (ГЦБ) Кыргызской Республики в следующих объемах:</w:t>
      </w:r>
    </w:p>
    <w:p>
      <w:pPr>
        <w:spacing w:after="240" w:before="240"/>
        <w:ind w:firstLine="567"/>
        <w:jc w:val="right"/>
      </w:pPr>
      <w:r>
        <w:rPr>
          <w:rFonts w:ascii="Arial" w:cs="Arial" w:eastAsia="Arial" w:hAnsi="Arial"/>
          <w:sz w:val="24"/>
          <w:szCs w:val="24"/>
        </w:rPr>
        <w:t xml:space="preserve">Таблица 6</w:t>
      </w:r>
    </w:p>
    <w:p>
      <w:pPr>
        <w:spacing w:after="240" w:before="200"/>
        <w:jc w:val="center"/>
      </w:pPr>
      <w:r>
        <w:rPr>
          <w:rFonts w:ascii="Arial" w:cs="Arial" w:eastAsia="Arial" w:hAnsi="Arial"/>
          <w:b/>
          <w:bCs/>
          <w:sz w:val="32"/>
          <w:szCs w:val="32"/>
        </w:rPr>
        <w:t xml:space="preserve">Поступления средств от размещения ГЦБ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3"/>
        <w:gridCol w:w="1376"/>
        <w:gridCol w:w="1366"/>
        <w:gridCol w:w="1250"/>
        <w:gridCol w:w="1376"/>
        <w:gridCol w:w="1366"/>
        <w:gridCol w:w="1250"/>
      </w:tblGrid>
      <w:tr>
        <w:tc>
          <w:tcPr>
            <w:tcW w:type="dxa" w:w="21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Источник поступлений</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13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ГКВ</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3391,4</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-2458,6</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5282,0</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1282,0</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Выпуск ГКО</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4830,8</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1680,8</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10711,7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4711,7</w:t>
            </w:r>
          </w:p>
        </w:tc>
      </w:tr>
      <w:tr>
        <w:tc>
          <w:tcPr>
            <w:tcW w:type="dxa" w:w="21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8222,2</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-777,8</w:t>
            </w:r>
          </w:p>
        </w:tc>
        <w:tc>
          <w:tcPr>
            <w:tcW w:type="dxa" w:w="13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10000,0</w:t>
            </w:r>
          </w:p>
        </w:tc>
        <w:tc>
          <w:tcPr>
            <w:tcW w:type="dxa" w:w="13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15993,7</w:t>
            </w:r>
          </w:p>
        </w:tc>
        <w:tc>
          <w:tcPr>
            <w:tcW w:type="dxa" w:w="12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5993,7</w:t>
            </w:r>
          </w:p>
        </w:tc>
      </w:tr>
    </w:tbl>
    <w:p>
      <w:pPr>
        <w:spacing w:after="60" w:before="120"/>
        <w:ind w:firstLine="567"/>
        <w:jc w:val="both"/>
      </w:pPr>
      <w:hyperlink w:history="1" r:id="rIdvqganiamhdou2ehq__xp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zz0n1zrjxmkib8tk5d_d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2015 год и прогнозе на 2016-2017 годы" от 30 декабря 2015 года № 232 прогнозные данные по поступлениям от выпуска и размещения ГЦБ на 2015 год были установлены в объеме 9354,7 млн. сомов (ГКВ - 5453,7 млн. сом, ГКО - 3901,0 млн. сомов), то есть увеличены на 354,7 млн. сомов. Фактически за 2015 год поступление средств в республиканский бюджет от размещения ГЦБ составило 8222,2 млн. сомов, в том числе по ГКВ - 3391,4 млн. сомов и ГКО - 4830,8 млн. сомов.</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2015 год, составило: 91,4% показателя утвержденного бюджета, или 87,9% показателя уточненного бюджета. Чистое финансирование по ГЦБ за отчетный период было положительным и составило 2611,3 млн. сомов.</w:t>
      </w:r>
    </w:p>
    <w:p>
      <w:pPr>
        <w:spacing w:after="60"/>
        <w:ind w:firstLine="567"/>
        <w:jc w:val="both"/>
      </w:pPr>
      <w:hyperlink w:history="1" r:id="rIdlshewzyuvwqrzn7qqjwl7">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внесении изменений в </w:t>
      </w:r>
      <w:hyperlink w:history="1" r:id="rIdtg4unqysst9bgz2lel6-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 бюджете Кыргызской Республики на 2016 год и прогнозе на 2017-2018 годы" от 22 декабря 2016 года № 214 прогнозные данные по поступлениям от выпуска и размещения ГЦБ на 2016 год были установлены в объеме 15153,8 млн. сомов (ГКВ - 5300,0 млн. сомов, ГКО - 6500,0 млн. сомов, ГКО в иностранной валюте - 3353,8 млн. сомов), то есть увеличены на 5153,8 млн. сомов. Фактически за 2016 год поступление средств в республиканский бюджет от размещения ГЦБ составило 15993,7 млн. сомов, в том числе по ГКВ - 5282,0 млн. сомов и ГКО - 7357,9 млн. сомов и ГКО, номинированные в иностранной валюте - 3353,8 млн. сомов. Увеличение выпуска ГЦБ связано с тем, что с начала марта 2016 года в банковской системе наблюдался достаточно высокий уровень избыточной ликвидности. В связи с этим со стороны коммерческих банков увеличился спрос на ГЦБ. В целях изыскания дополнительных финансовых ресурсов, необходимых для обеспечения полноценного функционирования ОАО "Государственная ипотечная компания", были выпущены ГКО, номинированные в иностранной валюте на сумму 49,4 млн. долл. США (3353,8 млн. сомов).</w:t>
      </w:r>
    </w:p>
    <w:p>
      <w:pPr>
        <w:spacing w:after="60"/>
        <w:ind w:firstLine="567"/>
        <w:jc w:val="both"/>
      </w:pPr>
      <w:r>
        <w:rPr>
          <w:rFonts w:ascii="Arial" w:cs="Arial" w:eastAsia="Arial" w:hAnsi="Arial"/>
          <w:sz w:val="24"/>
          <w:szCs w:val="24"/>
        </w:rPr>
        <w:t xml:space="preserve">Фактическое исполнение прогнозных показателей, предусмотренных в соответствующем законе о республиканском бюджете на 2016 год, составило: 159,9% показателя утвержденного бюджета или 105,5% показателя уточненного бюджета. Чистое финансирование по ГЦБ за отчетный период было положительным и составило 6243,5 млн. сомов.</w:t>
      </w:r>
    </w:p>
    <w:p>
      <w:pPr>
        <w:spacing w:after="60"/>
        <w:ind w:firstLine="567"/>
        <w:jc w:val="both"/>
      </w:pPr>
      <w:r>
        <w:rPr>
          <w:rFonts w:ascii="Arial" w:cs="Arial" w:eastAsia="Arial" w:hAnsi="Arial"/>
          <w:sz w:val="24"/>
          <w:szCs w:val="24"/>
        </w:rPr>
        <w:t xml:space="preserve">Заимствование осуществлялось на внутреннем рынке Кыргызской Республики путем размещения ГЦБ на аукционной основе среди прямых участников торгов. Структура выпуска ГЦБ разрабатывалась с учетом спроса участников аукциона.</w:t>
      </w:r>
    </w:p>
    <w:p>
      <w:pPr>
        <w:spacing w:after="60" w:before="200"/>
        <w:ind w:firstLine="567"/>
        <w:jc w:val="left"/>
      </w:pPr>
      <w:r>
        <w:rPr>
          <w:rFonts w:ascii="Arial" w:cs="Arial" w:eastAsia="Arial" w:hAnsi="Arial"/>
          <w:b/>
          <w:bCs/>
          <w:sz w:val="24"/>
          <w:szCs w:val="24"/>
        </w:rPr>
        <w:t xml:space="preserve">Рисунок 4. Структура заимствования посредством выпуска и размещения ГЦБ за 2015 год</w:t>
      </w:r>
    </w:p>
    <w:p>
      <w:pPr>
        <w:spacing w:after="200" w:before="200"/>
        <w:ind w:firstLine="567"/>
        <w:jc w:val="left"/>
      </w:pPr>
      <w:r>
        <w:rPr>
          <w:rFonts w:ascii="Arial" w:cs="Arial" w:eastAsia="Arial" w:hAnsi="Arial"/>
          <w:b/>
          <w:bCs/>
          <w:sz w:val="24"/>
          <w:szCs w:val="24"/>
        </w:rPr>
        <w:t xml:space="preserve">Рисунок 5. Структура заимствования посредством выпуска и размещения ГЦБ за 2016 год</w:t>
      </w:r>
    </w:p>
    <w:p>
      <w:pPr>
        <w:spacing w:after="60"/>
        <w:ind w:firstLine="567"/>
        <w:jc w:val="both"/>
      </w:pPr>
      <w:r>
        <w:rPr>
          <w:rFonts w:ascii="Arial" w:cs="Arial" w:eastAsia="Arial" w:hAnsi="Arial"/>
          <w:sz w:val="24"/>
          <w:szCs w:val="24"/>
        </w:rPr>
        <w:t xml:space="preserve">Средневзвешенные годовые значения доходности (средневзвешенная годовая доходность рассчитана по формуле: ) по ГЦБ, размещенным на аукционной основе, представлены в следующей таблице:</w:t>
      </w:r>
    </w:p>
    <w:p>
      <w:pPr>
        <w:spacing w:after="240" w:before="240"/>
        <w:ind w:firstLine="567"/>
        <w:jc w:val="right"/>
      </w:pPr>
      <w:r>
        <w:rPr>
          <w:rFonts w:ascii="Arial" w:cs="Arial" w:eastAsia="Arial" w:hAnsi="Arial"/>
          <w:sz w:val="24"/>
          <w:szCs w:val="24"/>
        </w:rPr>
        <w:t xml:space="preserve">Таблица 7</w:t>
      </w:r>
    </w:p>
    <w:p>
      <w:pPr>
        <w:spacing w:after="240" w:before="200"/>
        <w:jc w:val="center"/>
      </w:pPr>
      <w:r>
        <w:rPr>
          <w:rFonts w:ascii="Arial" w:cs="Arial" w:eastAsia="Arial" w:hAnsi="Arial"/>
          <w:b/>
          <w:bCs/>
          <w:sz w:val="32"/>
          <w:szCs w:val="32"/>
        </w:rPr>
        <w:t xml:space="preserve">Средневзвешенные годовые значения доходности по ГЦБ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3"/>
        <w:gridCol w:w="3579"/>
        <w:gridCol w:w="3086"/>
        <w:gridCol w:w="1981"/>
      </w:tblGrid>
      <w:tr>
        <w:tc>
          <w:tcPr>
            <w:tcW w:type="dxa" w:w="153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ГЦБ</w:t>
            </w:r>
          </w:p>
        </w:tc>
        <w:tc>
          <w:tcPr>
            <w:tcW w:type="dxa" w:w="35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2015 г.</w:t>
            </w:r>
          </w:p>
        </w:tc>
        <w:tc>
          <w:tcPr>
            <w:tcW w:type="dxa" w:w="30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Средневзвешенная годовая доходность 2016 г.</w:t>
            </w:r>
          </w:p>
        </w:tc>
        <w:tc>
          <w:tcPr>
            <w:tcW w:type="dxa" w:w="19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Изменения</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3-мес. ГКВ</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3,30%</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6,19%</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6-мес. ГКВ</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8,70%</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3,4%</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12-мес. ГКВ</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1,47%</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2-летние ГКО</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15,34%</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16,17%</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0,83%</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3-летние ГКО</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15,91%</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0,83%</w:t>
            </w:r>
          </w:p>
        </w:tc>
      </w:tr>
      <w:tr>
        <w:tc>
          <w:tcPr>
            <w:tcW w:type="dxa" w:w="153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5-летние ГКО</w:t>
            </w:r>
          </w:p>
        </w:tc>
        <w:tc>
          <w:tcPr>
            <w:tcW w:type="dxa" w:w="35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17,77%</w:t>
            </w:r>
          </w:p>
        </w:tc>
        <w:tc>
          <w:tcPr>
            <w:tcW w:type="dxa" w:w="30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18,54%</w:t>
            </w:r>
          </w:p>
        </w:tc>
        <w:tc>
          <w:tcPr>
            <w:tcW w:type="dxa" w:w="1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0,77%</w:t>
            </w:r>
          </w:p>
        </w:tc>
      </w:tr>
    </w:tbl>
    <w:p>
      <w:pPr>
        <w:spacing w:after="60" w:before="120"/>
        <w:ind w:firstLine="567"/>
        <w:jc w:val="both"/>
      </w:pPr>
      <w:r>
        <w:rPr>
          <w:rFonts w:ascii="Arial" w:cs="Arial" w:eastAsia="Arial" w:hAnsi="Arial"/>
          <w:sz w:val="24"/>
          <w:szCs w:val="24"/>
        </w:rPr>
        <w:t xml:space="preserve">В нижеприведенных диаграммах отражаются изменения доходности (средневзвешенные значения доходности, рассчитанные на ежемесячной основе) по видам ГЦБ и объемы поступлений за 2015-2016 годы.</w:t>
      </w:r>
    </w:p>
    <w:p>
      <w:pPr>
        <w:spacing w:after="60" w:before="200"/>
        <w:ind w:firstLine="567"/>
        <w:jc w:val="left"/>
      </w:pPr>
      <w:r>
        <w:rPr>
          <w:rFonts w:ascii="Arial" w:cs="Arial" w:eastAsia="Arial" w:hAnsi="Arial"/>
          <w:b/>
          <w:bCs/>
          <w:sz w:val="24"/>
          <w:szCs w:val="24"/>
        </w:rPr>
        <w:t xml:space="preserve">Рисунок 6. Динамика доходности и объемов поступлений от ГЦБ за 2015 год</w:t>
      </w:r>
    </w:p>
    <w:p>
      <w:pPr>
        <w:spacing w:after="200" w:before="200"/>
        <w:ind w:firstLine="567"/>
        <w:jc w:val="left"/>
      </w:pPr>
      <w:r>
        <w:rPr>
          <w:rFonts w:ascii="Arial" w:cs="Arial" w:eastAsia="Arial" w:hAnsi="Arial"/>
          <w:b/>
          <w:bCs/>
          <w:sz w:val="24"/>
          <w:szCs w:val="24"/>
        </w:rPr>
        <w:t xml:space="preserve">Рисунок 7. Динамика доходности и объемов поступлений от ГЦБ за 2016 год</w:t>
      </w:r>
    </w:p>
    <w:p>
      <w:pPr>
        <w:spacing w:after="60"/>
        <w:ind w:firstLine="567"/>
        <w:jc w:val="both"/>
      </w:pPr>
      <w:r>
        <w:rPr>
          <w:rFonts w:ascii="Arial" w:cs="Arial" w:eastAsia="Arial" w:hAnsi="Arial"/>
          <w:sz w:val="24"/>
          <w:szCs w:val="24"/>
        </w:rPr>
        <w:t xml:space="preserve">Расходы бюджета. Расходы на обслуживание государственного долга Кыргызской Республики представлены в таблице 8.</w:t>
      </w:r>
    </w:p>
    <w:p>
      <w:pPr>
        <w:spacing w:after="60"/>
        <w:ind w:firstLine="567"/>
        <w:jc w:val="right"/>
      </w:pPr>
      <w:r>
        <w:rPr>
          <w:rFonts w:ascii="Arial" w:cs="Arial" w:eastAsia="Arial" w:hAnsi="Arial"/>
          <w:sz w:val="24"/>
          <w:szCs w:val="24"/>
        </w:rPr>
        <w:t xml:space="preserve">Таблица 8</w:t>
      </w:r>
    </w:p>
    <w:p>
      <w:pPr>
        <w:spacing w:after="240" w:before="200"/>
        <w:jc w:val="center"/>
      </w:pPr>
      <w:r>
        <w:rPr>
          <w:rFonts w:ascii="Arial" w:cs="Arial" w:eastAsia="Arial" w:hAnsi="Arial"/>
          <w:b/>
          <w:bCs/>
          <w:sz w:val="32"/>
          <w:szCs w:val="32"/>
        </w:rPr>
        <w:t xml:space="preserve">Расходы на обслуживание государственного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86"/>
        <w:gridCol w:w="1140"/>
        <w:gridCol w:w="1140"/>
        <w:gridCol w:w="1716"/>
        <w:gridCol w:w="1140"/>
        <w:gridCol w:w="1140"/>
        <w:gridCol w:w="1716"/>
      </w:tblGrid>
      <w:tr>
        <w:tc>
          <w:tcPr>
            <w:tcW w:type="dxa" w:w="218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7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4133,5</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4097,0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5598,6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5125,5</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-473,1</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2834,3</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2827,2</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11527,6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10267,4</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-1260,2</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16271,1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15573,3</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-697,8</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5610,9</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Внешний долг</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4656,5</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588,9</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r>
      <w:tr>
        <w:tc>
          <w:tcPr>
            <w:tcW w:type="dxa" w:w="21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15661,1</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14364,4</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-1296,7</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21869,7</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20698,8</w:t>
            </w:r>
          </w:p>
        </w:tc>
        <w:tc>
          <w:tcPr>
            <w:tcW w:type="dxa" w:w="1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-1170,9</w:t>
            </w:r>
          </w:p>
        </w:tc>
      </w:tr>
    </w:tbl>
    <w:p>
      <w:pPr>
        <w:spacing w:after="60" w:before="120"/>
        <w:ind w:firstLine="567"/>
        <w:jc w:val="both"/>
      </w:pPr>
      <w:r>
        <w:rPr>
          <w:rFonts w:ascii="Arial" w:cs="Arial" w:eastAsia="Arial" w:hAnsi="Arial"/>
          <w:sz w:val="24"/>
          <w:szCs w:val="24"/>
        </w:rPr>
        <w:t xml:space="preserve">Внешний долг. Расходы на обслуживание государственного внешнего долга Кыргызской Республики представлены в таблице 9.</w:t>
      </w:r>
    </w:p>
    <w:p>
      <w:pPr>
        <w:spacing w:after="60"/>
        <w:ind w:firstLine="567"/>
        <w:jc w:val="right"/>
      </w:pPr>
      <w:r>
        <w:rPr>
          <w:rFonts w:ascii="Arial" w:cs="Arial" w:eastAsia="Arial" w:hAnsi="Arial"/>
          <w:sz w:val="24"/>
          <w:szCs w:val="24"/>
        </w:rPr>
        <w:t xml:space="preserve">Таблица 9</w:t>
      </w:r>
    </w:p>
    <w:p>
      <w:pPr>
        <w:spacing w:after="240" w:before="200"/>
        <w:jc w:val="center"/>
      </w:pPr>
      <w:r>
        <w:rPr>
          <w:rFonts w:ascii="Arial" w:cs="Arial" w:eastAsia="Arial" w:hAnsi="Arial"/>
          <w:b/>
          <w:bCs/>
          <w:sz w:val="32"/>
          <w:szCs w:val="32"/>
        </w:rPr>
        <w:t xml:space="preserve">Расходы на обслуживание государственного внешнего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2"/>
        <w:gridCol w:w="989"/>
        <w:gridCol w:w="989"/>
        <w:gridCol w:w="1624"/>
        <w:gridCol w:w="989"/>
        <w:gridCol w:w="989"/>
        <w:gridCol w:w="1624"/>
      </w:tblGrid>
      <w:tr>
        <w:tc>
          <w:tcPr>
            <w:tcW w:type="dxa" w:w="29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9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2834,1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2827,2</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3699,6</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-342,6</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1697,4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2053,5</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356,1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2581,3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-170,6</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1136,7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773,6</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-363,1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1118,3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-172,0</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4067,6</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4656,6</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6109,4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-286,3</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1320,1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1625,6</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1804,3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кредиты</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3031,0</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4305,1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-263,2</w:t>
            </w:r>
          </w:p>
        </w:tc>
      </w:tr>
      <w:tr>
        <w:tc>
          <w:tcPr>
            <w:tcW w:type="dxa" w:w="29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6901,7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7483,7</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582,1</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9809,0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-628,9</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на обслуживание государственного внешнего долга над прогнозными показателями явились:</w:t>
      </w:r>
    </w:p>
    <w:p>
      <w:pPr>
        <w:spacing w:after="60"/>
        <w:ind w:firstLine="567"/>
        <w:jc w:val="both"/>
      </w:pPr>
      <w:r>
        <w:rPr>
          <w:rFonts w:ascii="Arial" w:cs="Arial" w:eastAsia="Arial" w:hAnsi="Arial"/>
          <w:sz w:val="24"/>
          <w:szCs w:val="24"/>
        </w:rPr>
        <w:t xml:space="preserve">- продолжающееся укрепление курса сома по отношению к иностранным валютам в течение 2016 года уменьшило расходы на обслуживание государственного внешнего долга в сомовом эквиваленте;</w:t>
      </w:r>
    </w:p>
    <w:p>
      <w:pPr>
        <w:spacing w:after="60"/>
        <w:ind w:firstLine="567"/>
        <w:jc w:val="both"/>
      </w:pPr>
      <w:r>
        <w:rPr>
          <w:rFonts w:ascii="Arial" w:cs="Arial" w:eastAsia="Arial" w:hAnsi="Arial"/>
          <w:sz w:val="24"/>
          <w:szCs w:val="24"/>
        </w:rPr>
        <w:t xml:space="preserve">- отрицательная разница между фактически начисленными обязательствами и прогнозными суммами обслуживания действующих кредитов, утвержденных республиканским бюджетом.</w:t>
      </w:r>
    </w:p>
    <w:p>
      <w:pPr>
        <w:spacing w:after="240" w:before="240"/>
        <w:ind w:firstLine="567"/>
        <w:jc w:val="right"/>
      </w:pPr>
      <w:r>
        <w:rPr>
          <w:rFonts w:ascii="Arial" w:cs="Arial" w:eastAsia="Arial" w:hAnsi="Arial"/>
          <w:sz w:val="24"/>
          <w:szCs w:val="24"/>
        </w:rPr>
        <w:t xml:space="preserve">Таблица 10</w:t>
      </w:r>
    </w:p>
    <w:p>
      <w:pPr>
        <w:spacing w:after="240" w:before="200"/>
        <w:jc w:val="center"/>
      </w:pPr>
      <w:r>
        <w:rPr>
          <w:rFonts w:ascii="Arial" w:cs="Arial" w:eastAsia="Arial" w:hAnsi="Arial"/>
          <w:b/>
          <w:bCs/>
          <w:sz w:val="32"/>
          <w:szCs w:val="32"/>
        </w:rPr>
        <w:t xml:space="preserve">Структура фактических платежей по государственному внешнему долгу за 2015 год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21"/>
        <w:gridCol w:w="5510"/>
        <w:gridCol w:w="1093"/>
        <w:gridCol w:w="1553"/>
      </w:tblGrid>
      <w:tr>
        <w:tc>
          <w:tcPr>
            <w:tcW w:type="dxa" w:w="20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55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15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0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46,0</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1594,7</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1 456,4</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 Франция, Банка КфВ, Германия (Гермес) (возврат курсовой разницы)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148,2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 Даби</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190,1</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r>
        <w:tc>
          <w:tcPr>
            <w:tcW w:type="dxa" w:w="753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2053,5</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1625,6</w:t>
            </w:r>
          </w:p>
        </w:tc>
      </w:tr>
      <w:tr>
        <w:tc>
          <w:tcPr>
            <w:tcW w:type="dxa" w:w="202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292,5</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1227,1</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385,2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1278,6</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241,8</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237,0</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17,7</w:t>
            </w:r>
          </w:p>
        </w:tc>
      </w:tr>
      <w:tr>
        <w:tc>
          <w:tcPr>
            <w:vMerge w:val="continue"/>
            <w:tcBorders>
              <w:top w:val="none" w:color="auto" w:sz="0"/>
              <w:left w:val="single" w:color="CBBF9E" w:sz="4"/>
              <w:bottom w:val="single" w:color="CBBF9E" w:sz="4"/>
              <w:right w:val="single" w:color="CBBF9E" w:sz="4"/>
            </w:tcBorders>
          </w:tcP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r>
      <w:tr>
        <w:tc>
          <w:tcPr>
            <w:tcW w:type="dxa" w:w="753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773,6</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3031,0</w:t>
            </w:r>
          </w:p>
        </w:tc>
      </w:tr>
      <w:tr>
        <w:tc>
          <w:tcPr>
            <w:tcW w:type="dxa" w:w="20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55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2827,2</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4656,6</w:t>
            </w:r>
          </w:p>
        </w:tc>
      </w:tr>
    </w:tbl>
    <w:p>
      <w:pPr>
        <w:spacing w:after="240" w:before="240"/>
        <w:ind w:firstLine="567"/>
        <w:jc w:val="right"/>
      </w:pPr>
      <w:r>
        <w:rPr>
          <w:rFonts w:ascii="Arial" w:cs="Arial" w:eastAsia="Arial" w:hAnsi="Arial"/>
          <w:sz w:val="24"/>
          <w:szCs w:val="24"/>
        </w:rPr>
        <w:t xml:space="preserve">Таблица 11</w:t>
      </w:r>
    </w:p>
    <w:p>
      <w:pPr>
        <w:spacing w:after="240" w:before="200"/>
        <w:jc w:val="center"/>
      </w:pPr>
      <w:r>
        <w:rPr>
          <w:rFonts w:ascii="Arial" w:cs="Arial" w:eastAsia="Arial" w:hAnsi="Arial"/>
          <w:b/>
          <w:bCs/>
          <w:sz w:val="32"/>
          <w:szCs w:val="32"/>
        </w:rPr>
        <w:t xml:space="preserve">Структура фактических платежей по государственному внешнему
 долгу за 2016 год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46"/>
        <w:gridCol w:w="3420"/>
        <w:gridCol w:w="1505"/>
        <w:gridCol w:w="2307"/>
      </w:tblGrid>
      <w:tr>
        <w:tc>
          <w:tcPr>
            <w:tcW w:type="dxa" w:w="294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Тип долга</w:t>
            </w:r>
          </w:p>
        </w:tc>
        <w:tc>
          <w:tcPr>
            <w:tcW w:type="dxa" w:w="34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Кредитор</w:t>
            </w:r>
          </w:p>
        </w:tc>
        <w:tc>
          <w:tcPr>
            <w:tcW w:type="dxa" w:w="1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Проценты</w:t>
            </w:r>
          </w:p>
        </w:tc>
        <w:tc>
          <w:tcPr>
            <w:tcW w:type="dxa" w:w="23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Основная сумма</w:t>
            </w:r>
          </w:p>
        </w:tc>
      </w:tr>
      <w:tr>
        <w:tc>
          <w:tcPr>
            <w:tcW w:type="dxa" w:w="29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Двусторонние займы</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(Банк КфВ)</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68,9</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Германия (Гермес)</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Дания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Китай</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1950,2</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1548,7</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Корея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Кувейт (КФАЭР)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111,3</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Россия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Саудовский фонд развития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Турция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развития Абу-Даби</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Япония</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242,8</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r>
      <w:tr>
        <w:tc>
          <w:tcPr>
            <w:tcW w:type="dxa" w:w="63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двусторонние займы</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2410,7</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1781,2</w:t>
            </w:r>
          </w:p>
        </w:tc>
      </w:tr>
      <w:tr>
        <w:tc>
          <w:tcPr>
            <w:tcW w:type="dxa" w:w="294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Многосторонние займы</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345,6</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1432,8</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425,0</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1454,7</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ЕАБР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ЕБРР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63,0</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317,2</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ИБР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МФСР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МВФ</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527,0</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ОПЕК</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33,8</w:t>
            </w:r>
          </w:p>
        </w:tc>
      </w:tr>
      <w:tr>
        <w:tc>
          <w:tcPr>
            <w:vMerge w:val="continue"/>
            <w:tcBorders>
              <w:top w:val="none" w:color="auto" w:sz="0"/>
              <w:left w:val="single" w:color="CBBF9E" w:sz="4"/>
              <w:bottom w:val="single" w:color="CBBF9E" w:sz="4"/>
              <w:right w:val="single" w:color="CBBF9E" w:sz="4"/>
            </w:tcBorders>
          </w:tcP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СФР</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w:t>
            </w:r>
          </w:p>
        </w:tc>
      </w:tr>
      <w:tr>
        <w:tc>
          <w:tcPr>
            <w:tcW w:type="dxa" w:w="636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 многосторонние займы</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946,3</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4041,9</w:t>
            </w:r>
          </w:p>
        </w:tc>
      </w:tr>
      <w:tr>
        <w:tc>
          <w:tcPr>
            <w:tcW w:type="dxa" w:w="294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Общий итог</w:t>
            </w:r>
          </w:p>
        </w:tc>
        <w:tc>
          <w:tcPr>
            <w:tcW w:type="dxa" w:w="3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3357,0</w:t>
            </w:r>
          </w:p>
        </w:tc>
        <w:tc>
          <w:tcPr>
            <w:tcW w:type="dxa" w:w="2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5823,1</w:t>
            </w:r>
          </w:p>
        </w:tc>
      </w:tr>
    </w:tbl>
    <w:p>
      <w:pPr>
        <w:spacing w:after="60" w:before="200"/>
        <w:ind w:firstLine="567"/>
        <w:jc w:val="left"/>
      </w:pPr>
      <w:r>
        <w:rPr>
          <w:rFonts w:ascii="Arial" w:cs="Arial" w:eastAsia="Arial" w:hAnsi="Arial"/>
          <w:b/>
          <w:bCs/>
          <w:sz w:val="24"/>
          <w:szCs w:val="24"/>
        </w:rPr>
        <w:t xml:space="preserve">Рисунок 8. Структура обслуживания государственного внешнего долга в разрезе категорий платежей (млн. сом.)</w:t>
      </w:r>
    </w:p>
    <w:p>
      <w:pPr>
        <w:spacing w:after="200" w:before="200"/>
        <w:ind w:firstLine="567"/>
        <w:jc w:val="left"/>
      </w:pPr>
      <w:r>
        <w:rPr>
          <w:rFonts w:ascii="Arial" w:cs="Arial" w:eastAsia="Arial" w:hAnsi="Arial"/>
          <w:b/>
          <w:bCs/>
          <w:sz w:val="24"/>
          <w:szCs w:val="24"/>
        </w:rPr>
        <w:t xml:space="preserve">Рисунок 9. Структура обслуживания государственного внешнего долга в разрезе категории кредиторов (млн. сом.)</w:t>
      </w:r>
    </w:p>
    <w:p>
      <w:pPr>
        <w:spacing w:after="60"/>
        <w:ind w:firstLine="567"/>
        <w:jc w:val="both"/>
      </w:pPr>
      <w:r>
        <w:rPr>
          <w:rFonts w:ascii="Arial" w:cs="Arial" w:eastAsia="Arial" w:hAnsi="Arial"/>
          <w:sz w:val="24"/>
          <w:szCs w:val="24"/>
        </w:rPr>
        <w:t xml:space="preserve">Валютная структура платежей по государственному внешнему долгу в 2015-2016 годы представлена в таблице 12.</w:t>
      </w:r>
    </w:p>
    <w:p>
      <w:pPr>
        <w:spacing w:after="240" w:before="240"/>
        <w:ind w:firstLine="567"/>
        <w:jc w:val="right"/>
      </w:pPr>
      <w:r>
        <w:rPr>
          <w:rFonts w:ascii="Arial" w:cs="Arial" w:eastAsia="Arial" w:hAnsi="Arial"/>
          <w:sz w:val="24"/>
          <w:szCs w:val="24"/>
        </w:rPr>
        <w:t xml:space="preserve">Таблица 12</w:t>
      </w:r>
    </w:p>
    <w:p>
      <w:pPr>
        <w:spacing w:after="60" w:before="200"/>
        <w:jc w:val="center"/>
      </w:pPr>
      <w:r>
        <w:rPr>
          <w:rFonts w:ascii="Arial" w:cs="Arial" w:eastAsia="Arial" w:hAnsi="Arial"/>
          <w:b/>
          <w:bCs/>
          <w:sz w:val="32"/>
          <w:szCs w:val="32"/>
        </w:rPr>
        <w:t xml:space="preserve">Валютная структура платежей по государственному внешнему
 долгу в 2015-2016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71"/>
        <w:gridCol w:w="3254"/>
        <w:gridCol w:w="3254"/>
      </w:tblGrid>
      <w:tr>
        <w:tc>
          <w:tcPr>
            <w:tcW w:type="dxa" w:w="36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Валюта</w:t>
            </w:r>
          </w:p>
        </w:tc>
        <w:tc>
          <w:tcPr>
            <w:tcW w:type="dxa" w:w="3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3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AED</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CNY</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276,1</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290,8</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EUR</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171,2</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274,9</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JPY</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218,4</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284,4</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KRW</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24,3</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KWD</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126,0</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SAR</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USD</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6692,6</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8210,1</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KGS</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r>
      <w:tr>
        <w:tc>
          <w:tcPr>
            <w:tcW w:type="dxa" w:w="36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7483,8</w:t>
            </w:r>
          </w:p>
        </w:tc>
        <w:tc>
          <w:tcPr>
            <w:tcW w:type="dxa" w:w="3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9180,1</w:t>
            </w:r>
          </w:p>
        </w:tc>
      </w:tr>
    </w:tbl>
    <w:p>
      <w:pPr>
        <w:spacing w:after="60" w:before="120"/>
        <w:ind w:firstLine="567"/>
        <w:jc w:val="both"/>
      </w:pPr>
      <w:r>
        <w:rPr>
          <w:rFonts w:ascii="Arial" w:cs="Arial" w:eastAsia="Arial" w:hAnsi="Arial"/>
          <w:sz w:val="24"/>
          <w:szCs w:val="24"/>
        </w:rPr>
        <w:t xml:space="preserve">В отчетном периоде порядка 90% всех платежей произведены в долларах США. В долларах США обслуживаются как кредиты, номинированные в данной валюте, так и займы, номинированные в условных платежных средствах (СДР, исламский динар). Оставшаяся часть операций распределена между китайским юанем, японской йеной, кувейтским динаром, корейской воной, саудовским риалом, дирхамом ОАЭ и евро. В процессе обслуживания государственного внешнего долга имели место операции в кыргызских сомах. Данные транзакции производились в целях корректировки курсовой разницы платежей в иностранной валюте (возврат средств на счета Центрального казначейства Министерства финансов Кыргызской Республики или доплата в сторону Национального банка Кыргызской Республики при образовании курсовой разницы).</w:t>
      </w:r>
    </w:p>
    <w:p>
      <w:pPr>
        <w:spacing w:after="60"/>
        <w:ind w:firstLine="567"/>
        <w:jc w:val="both"/>
      </w:pPr>
      <w:r>
        <w:rPr>
          <w:rFonts w:ascii="Arial" w:cs="Arial" w:eastAsia="Arial" w:hAnsi="Arial"/>
          <w:sz w:val="24"/>
          <w:szCs w:val="24"/>
        </w:rPr>
        <w:t xml:space="preserve">Ниже представлены типовые финансовые условия по внешнему долгу.</w:t>
      </w:r>
    </w:p>
    <w:p>
      <w:pPr>
        <w:spacing w:after="200" w:before="200"/>
        <w:ind w:firstLine="567"/>
        <w:jc w:val="left"/>
      </w:pPr>
      <w:r>
        <w:rPr>
          <w:rFonts w:ascii="Arial" w:cs="Arial" w:eastAsia="Arial" w:hAnsi="Arial"/>
          <w:b/>
          <w:bCs/>
          <w:sz w:val="24"/>
          <w:szCs w:val="24"/>
        </w:rPr>
        <w:t xml:space="preserve">Рисунок 10. Типовые финансовые условия по внешнему долгу</w:t>
      </w:r>
    </w:p>
    <w:p>
      <w:pPr>
        <w:spacing w:after="60"/>
        <w:ind w:firstLine="567"/>
        <w:jc w:val="both"/>
      </w:pPr>
      <w:r>
        <w:rPr>
          <w:rFonts w:ascii="Arial" w:cs="Arial" w:eastAsia="Arial" w:hAnsi="Arial"/>
          <w:sz w:val="24"/>
          <w:szCs w:val="24"/>
        </w:rPr>
        <w:t xml:space="preserve">Внутренний долг. Расходы на обслуживание государственного внутреннего долга Кыргызской Республики представлены в таблице 13.</w:t>
      </w:r>
    </w:p>
    <w:p>
      <w:pPr>
        <w:spacing w:after="60"/>
        <w:ind w:firstLine="567"/>
        <w:jc w:val="right"/>
      </w:pPr>
      <w:r>
        <w:rPr>
          <w:rFonts w:ascii="Arial" w:cs="Arial" w:eastAsia="Arial" w:hAnsi="Arial"/>
          <w:sz w:val="24"/>
          <w:szCs w:val="24"/>
        </w:rPr>
        <w:t xml:space="preserve">Таблица 13</w:t>
      </w:r>
    </w:p>
    <w:p>
      <w:pPr>
        <w:spacing w:after="240" w:before="200"/>
        <w:jc w:val="center"/>
      </w:pPr>
      <w:r>
        <w:rPr>
          <w:rFonts w:ascii="Arial" w:cs="Arial" w:eastAsia="Arial" w:hAnsi="Arial"/>
          <w:b/>
          <w:bCs/>
          <w:sz w:val="32"/>
          <w:szCs w:val="32"/>
        </w:rPr>
        <w:t xml:space="preserve">Расходы на обслуживание государственного внутреннего долга
 Кыргызской Республики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5"/>
        <w:gridCol w:w="1020"/>
        <w:gridCol w:w="1020"/>
        <w:gridCol w:w="1675"/>
        <w:gridCol w:w="1111"/>
        <w:gridCol w:w="1111"/>
        <w:gridCol w:w="1675"/>
      </w:tblGrid>
      <w:tr>
        <w:tc>
          <w:tcPr>
            <w:tcW w:type="dxa" w:w="25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Расходы</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(План)</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(План)</w:t>
            </w:r>
          </w:p>
        </w:tc>
        <w:tc>
          <w:tcPr>
            <w:tcW w:type="dxa" w:w="1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Отклонения</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1299,2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1269,8</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1899,0</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1768,5</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386,8</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457,1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421,6</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911,9</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1441,4</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1346,9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Индексация вкладов</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7460,0</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5610,9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-1849,1</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10161,7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9750,2</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-411,5</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4949,2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3184,0</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-1765,2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4720,2</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4343,4</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-376,8</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Долгосрочные ГЦБ</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2510,8</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2426,9</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5441,5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5406,8</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w:t>
            </w:r>
          </w:p>
        </w:tc>
      </w:tr>
      <w:tr>
        <w:tc>
          <w:tcPr>
            <w:tcW w:type="dxa" w:w="2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8759,2</w:t>
            </w:r>
          </w:p>
        </w:tc>
        <w:tc>
          <w:tcPr>
            <w:tcW w:type="dxa" w:w="10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6880,7</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-1878,5</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12060,7</w:t>
            </w:r>
          </w:p>
        </w:tc>
        <w:tc>
          <w:tcPr>
            <w:tcW w:type="dxa" w:w="11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11518,7</w:t>
            </w:r>
          </w:p>
        </w:tc>
        <w:tc>
          <w:tcPr>
            <w:tcW w:type="dxa" w:w="1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-542,0</w:t>
            </w:r>
          </w:p>
        </w:tc>
      </w:tr>
    </w:tbl>
    <w:p>
      <w:pPr>
        <w:spacing w:after="60" w:before="120"/>
        <w:ind w:firstLine="567"/>
        <w:jc w:val="both"/>
      </w:pPr>
      <w:r>
        <w:rPr>
          <w:rFonts w:ascii="Arial" w:cs="Arial" w:eastAsia="Arial" w:hAnsi="Arial"/>
          <w:sz w:val="24"/>
          <w:szCs w:val="24"/>
        </w:rPr>
        <w:t xml:space="preserve">Основными причинами отклонения фактических расходов по выплате процентов от запланированных показателей были следующие факты:</w:t>
      </w:r>
    </w:p>
    <w:p>
      <w:pPr>
        <w:spacing w:after="60"/>
        <w:ind w:firstLine="567"/>
        <w:jc w:val="both"/>
      </w:pPr>
      <w:r>
        <w:rPr>
          <w:rFonts w:ascii="Arial" w:cs="Arial" w:eastAsia="Arial" w:hAnsi="Arial"/>
          <w:sz w:val="24"/>
          <w:szCs w:val="24"/>
        </w:rPr>
        <w:t xml:space="preserve">- структура и календарь эмиссии ГЦБ корректировались в течение года в зависимости от сложившегося спроса и текущего уровня доходности;</w:t>
      </w:r>
    </w:p>
    <w:p>
      <w:pPr>
        <w:spacing w:after="60"/>
        <w:ind w:firstLine="567"/>
        <w:jc w:val="both"/>
      </w:pPr>
      <w:r>
        <w:rPr>
          <w:rFonts w:ascii="Arial" w:cs="Arial" w:eastAsia="Arial" w:hAnsi="Arial"/>
          <w:sz w:val="24"/>
          <w:szCs w:val="24"/>
        </w:rPr>
        <w:t xml:space="preserve">- отклонение по выплате процентов по долгосрочным ценным бумагам в сторону уменьшения сложилось в связи с тем, что по отдельным долгосрочным ГЦБ (КО серии "Кайрат", ГКО "Залкар Банк"), ставки являются плавающими и привязаны к ставкам ГКВ, которые в отчетном году, как было отмечено выше, уменьшились.</w:t>
      </w:r>
    </w:p>
    <w:p>
      <w:pPr>
        <w:spacing w:after="60"/>
        <w:ind w:firstLine="567"/>
        <w:jc w:val="both"/>
      </w:pPr>
      <w:r>
        <w:rPr>
          <w:rFonts w:ascii="Arial" w:cs="Arial" w:eastAsia="Arial" w:hAnsi="Arial"/>
          <w:sz w:val="24"/>
          <w:szCs w:val="24"/>
        </w:rPr>
        <w:t xml:space="preserve">Отклонение фактических расходов по погашению основной суммы ГЦБ от плановых в сторону уменьшения обусловлено следующим:</w:t>
      </w:r>
    </w:p>
    <w:p>
      <w:pPr>
        <w:spacing w:after="60"/>
        <w:ind w:firstLine="567"/>
        <w:jc w:val="both"/>
      </w:pPr>
      <w:r>
        <w:rPr>
          <w:rFonts w:ascii="Arial" w:cs="Arial" w:eastAsia="Arial" w:hAnsi="Arial"/>
          <w:sz w:val="24"/>
          <w:szCs w:val="24"/>
        </w:rPr>
        <w:t xml:space="preserve">- внесением изменений в структуру календаря эмиссии по ГЦБ посредством замещения выпусков ГКВ выпусками ГКО;</w:t>
      </w:r>
    </w:p>
    <w:p>
      <w:pPr>
        <w:spacing w:after="60"/>
        <w:ind w:firstLine="567"/>
        <w:jc w:val="both"/>
      </w:pPr>
      <w:r>
        <w:rPr>
          <w:rFonts w:ascii="Arial" w:cs="Arial" w:eastAsia="Arial" w:hAnsi="Arial"/>
          <w:sz w:val="24"/>
          <w:szCs w:val="24"/>
        </w:rPr>
        <w:t xml:space="preserve">- уточнением и последующей корректировкой в течение года погашения основной суммы по ГКВ и ГКО.</w:t>
      </w:r>
    </w:p>
    <w:p>
      <w:pPr>
        <w:spacing w:after="60" w:before="200"/>
        <w:ind w:firstLine="567"/>
        <w:jc w:val="left"/>
      </w:pPr>
      <w:r>
        <w:rPr>
          <w:rFonts w:ascii="Arial" w:cs="Arial" w:eastAsia="Arial" w:hAnsi="Arial"/>
          <w:b/>
          <w:bCs/>
          <w:sz w:val="24"/>
          <w:szCs w:val="24"/>
        </w:rPr>
        <w:t xml:space="preserve">Рисунок 11. Структура платежей по обслуживанию внутреннего долга в разрезе держателей ГЦБ за 2015 год (млн. сом.)</w:t>
      </w:r>
    </w:p>
    <w:p>
      <w:pPr>
        <w:spacing w:after="200" w:before="200"/>
        <w:ind w:firstLine="567"/>
        <w:jc w:val="left"/>
      </w:pPr>
      <w:r>
        <w:rPr>
          <w:rFonts w:ascii="Arial" w:cs="Arial" w:eastAsia="Arial" w:hAnsi="Arial"/>
          <w:b/>
          <w:bCs/>
          <w:sz w:val="24"/>
          <w:szCs w:val="24"/>
        </w:rPr>
        <w:t xml:space="preserve">Рисунок 12. Структура платежей по обслуживанию внутреннего долга в разрезе держателей ГЦБ за 2016 год (млн. сом.)</w:t>
      </w:r>
    </w:p>
    <w:p>
      <w:pPr>
        <w:spacing w:after="60"/>
        <w:ind w:firstLine="567"/>
        <w:jc w:val="both"/>
      </w:pPr>
      <w:r>
        <w:rPr>
          <w:rFonts w:ascii="Arial" w:cs="Arial" w:eastAsia="Arial" w:hAnsi="Arial"/>
          <w:sz w:val="24"/>
          <w:szCs w:val="24"/>
        </w:rPr>
        <w:t xml:space="preserve">Государственный долг Кыргызской Республики на конец 2015 года. По состоянию на 31 декабря 2015 года размер государственного долга Кыргызской Республики составил 3805,1 млн. долл. США (288803,9 млн. сомов), из них:</w:t>
      </w:r>
    </w:p>
    <w:p>
      <w:pPr>
        <w:spacing w:after="60"/>
        <w:ind w:firstLine="567"/>
        <w:jc w:val="both"/>
      </w:pPr>
      <w:r>
        <w:rPr>
          <w:rFonts w:ascii="Arial" w:cs="Arial" w:eastAsia="Arial" w:hAnsi="Arial"/>
          <w:sz w:val="24"/>
          <w:szCs w:val="24"/>
        </w:rPr>
        <w:t xml:space="preserve">- 95% составляют государственный внешний долг: 3601,1 млн. долл. США (273320,2 млн. сомов);</w:t>
      </w:r>
    </w:p>
    <w:p>
      <w:pPr>
        <w:spacing w:after="60"/>
        <w:ind w:firstLine="567"/>
        <w:jc w:val="both"/>
      </w:pPr>
      <w:r>
        <w:rPr>
          <w:rFonts w:ascii="Arial" w:cs="Arial" w:eastAsia="Arial" w:hAnsi="Arial"/>
          <w:sz w:val="24"/>
          <w:szCs w:val="24"/>
        </w:rPr>
        <w:t xml:space="preserve">- 0,5% составляют государственный внутренний долг: 204,0 млн. долл. США (15483,7 млн. сомов).</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2015 год составило 63,5%.</w:t>
      </w:r>
    </w:p>
    <w:p>
      <w:pPr>
        <w:spacing w:after="60"/>
        <w:ind w:firstLine="567"/>
        <w:jc w:val="both"/>
      </w:pPr>
      <w:r>
        <w:rPr>
          <w:rFonts w:ascii="Arial" w:cs="Arial" w:eastAsia="Arial" w:hAnsi="Arial"/>
          <w:sz w:val="24"/>
          <w:szCs w:val="24"/>
        </w:rPr>
        <w:t xml:space="preserve">Государственный долг Кыргызской Республики на конец 2016 года. По состоянию на 31 декабря 2016 года, размер государственного долга Кыргызской Республики составил 4065,4 млн. долл. США (281450,9 млн. сомов), из них:</w:t>
      </w:r>
    </w:p>
    <w:p>
      <w:pPr>
        <w:spacing w:after="60"/>
        <w:ind w:firstLine="567"/>
        <w:jc w:val="both"/>
      </w:pPr>
      <w:r>
        <w:rPr>
          <w:rFonts w:ascii="Arial" w:cs="Arial" w:eastAsia="Arial" w:hAnsi="Arial"/>
          <w:sz w:val="24"/>
          <w:szCs w:val="24"/>
        </w:rPr>
        <w:t xml:space="preserve">- 92,1% составляют государственный внешний долг: 3742,7 млн. долл. США (259110,5 млн. сомов);</w:t>
      </w:r>
    </w:p>
    <w:p>
      <w:pPr>
        <w:spacing w:after="60"/>
        <w:ind w:firstLine="567"/>
        <w:jc w:val="both"/>
      </w:pPr>
      <w:r>
        <w:rPr>
          <w:rFonts w:ascii="Arial" w:cs="Arial" w:eastAsia="Arial" w:hAnsi="Arial"/>
          <w:sz w:val="24"/>
          <w:szCs w:val="24"/>
        </w:rPr>
        <w:t xml:space="preserve">- 7,9% составляют государственный внутренний долг: 322,7 млн. долл. США (22340,6 млн. сомов).</w:t>
      </w:r>
    </w:p>
    <w:p>
      <w:pPr>
        <w:spacing w:after="60"/>
        <w:ind w:firstLine="567"/>
        <w:jc w:val="both"/>
      </w:pPr>
      <w:r>
        <w:rPr>
          <w:rFonts w:ascii="Arial" w:cs="Arial" w:eastAsia="Arial" w:hAnsi="Arial"/>
          <w:sz w:val="24"/>
          <w:szCs w:val="24"/>
        </w:rPr>
        <w:t xml:space="preserve">По предварительным данным соотношение государственного внешнего долга к ВВП за 2016 год составило 56,6%.</w:t>
      </w:r>
    </w:p>
    <w:p>
      <w:pPr>
        <w:spacing w:after="200" w:before="200"/>
        <w:jc w:val="center"/>
      </w:pPr>
      <w:r>
        <w:rPr>
          <w:rFonts w:ascii="Arial" w:cs="Arial" w:eastAsia="Arial" w:hAnsi="Arial"/>
          <w:b/>
          <w:bCs/>
          <w:sz w:val="24"/>
          <w:szCs w:val="24"/>
        </w:rPr>
        <w:t xml:space="preserve">4.2. Обслуживание государственного долга на 2018-2020 годы</w:t>
      </w:r>
    </w:p>
    <w:p>
      <w:pPr>
        <w:spacing w:after="200" w:before="200"/>
        <w:jc w:val="center"/>
      </w:pPr>
      <w:r>
        <w:rPr>
          <w:rFonts w:ascii="Arial" w:cs="Arial" w:eastAsia="Arial" w:hAnsi="Arial"/>
          <w:b/>
          <w:bCs/>
          <w:sz w:val="32"/>
          <w:szCs w:val="32"/>
        </w:rPr>
        <w:t xml:space="preserve">Тенденции и динамика внешнего долга за прошлые периоды</w:t>
      </w:r>
    </w:p>
    <w:p>
      <w:pPr>
        <w:spacing w:after="60"/>
        <w:ind w:firstLine="567"/>
        <w:jc w:val="right"/>
      </w:pPr>
      <w:r>
        <w:rPr>
          <w:rFonts w:ascii="Arial" w:cs="Arial" w:eastAsia="Arial" w:hAnsi="Arial"/>
          <w:sz w:val="24"/>
          <w:szCs w:val="24"/>
        </w:rPr>
        <w:t xml:space="preserve">Таблица 14</w:t>
      </w:r>
    </w:p>
    <w:p>
      <w:pPr>
        <w:spacing w:after="240" w:before="200"/>
        <w:jc w:val="center"/>
      </w:pPr>
      <w:r>
        <w:rPr>
          <w:rFonts w:ascii="Arial" w:cs="Arial" w:eastAsia="Arial" w:hAnsi="Arial"/>
          <w:b/>
          <w:bCs/>
          <w:sz w:val="32"/>
          <w:szCs w:val="32"/>
        </w:rPr>
        <w:t xml:space="preserve">Тенденции изменения внешнего долга за прошлые периоды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15"/>
        <w:gridCol w:w="1093"/>
        <w:gridCol w:w="1093"/>
        <w:gridCol w:w="1093"/>
        <w:gridCol w:w="1093"/>
        <w:gridCol w:w="1093"/>
      </w:tblGrid>
      <w:tr>
        <w:tc>
          <w:tcPr>
            <w:tcW w:type="dxa" w:w="471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143713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155556</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202397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273320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259110</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17603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20235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26788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20302</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25743</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5150</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7484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9180</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1655</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2827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3357</w:t>
            </w:r>
          </w:p>
        </w:tc>
      </w:tr>
      <w:tr>
        <w:tc>
          <w:tcPr>
            <w:tcW w:type="dxa" w:w="47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2919</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4657</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5823</w:t>
            </w:r>
          </w:p>
        </w:tc>
      </w:tr>
    </w:tbl>
    <w:p>
      <w:pPr>
        <w:spacing w:after="240" w:before="240"/>
        <w:ind w:firstLine="567"/>
        <w:jc w:val="right"/>
      </w:pPr>
      <w:r>
        <w:rPr>
          <w:rFonts w:ascii="Arial" w:cs="Arial" w:eastAsia="Arial" w:hAnsi="Arial"/>
          <w:sz w:val="24"/>
          <w:szCs w:val="24"/>
        </w:rPr>
        <w:t xml:space="preserve">Таблица 15</w:t>
      </w:r>
    </w:p>
    <w:p>
      <w:pPr>
        <w:spacing w:after="240" w:before="200"/>
        <w:jc w:val="center"/>
      </w:pPr>
      <w:r>
        <w:rPr>
          <w:rFonts w:ascii="Arial" w:cs="Arial" w:eastAsia="Arial" w:hAnsi="Arial"/>
          <w:b/>
          <w:bCs/>
          <w:sz w:val="32"/>
          <w:szCs w:val="32"/>
        </w:rPr>
        <w:t xml:space="preserve">Тенденции изменения внешнего долга за прошлые периоды (в млн.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3"/>
        <w:gridCol w:w="1085"/>
        <w:gridCol w:w="1085"/>
        <w:gridCol w:w="1085"/>
        <w:gridCol w:w="1085"/>
        <w:gridCol w:w="1085"/>
      </w:tblGrid>
      <w:tr>
        <w:tc>
          <w:tcPr>
            <w:tcW w:type="dxa" w:w="4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3159</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3437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3601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3743</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370</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r>
    </w:tbl>
    <w:p>
      <w:pPr>
        <w:spacing w:after="240" w:before="240"/>
        <w:ind w:firstLine="567"/>
        <w:jc w:val="right"/>
      </w:pPr>
      <w:r>
        <w:rPr>
          <w:rFonts w:ascii="Arial" w:cs="Arial" w:eastAsia="Arial" w:hAnsi="Arial"/>
          <w:sz w:val="24"/>
          <w:szCs w:val="24"/>
        </w:rPr>
        <w:t xml:space="preserve">Таблица 16</w:t>
      </w:r>
    </w:p>
    <w:p>
      <w:pPr>
        <w:spacing w:after="240" w:before="200"/>
        <w:jc w:val="center"/>
      </w:pPr>
      <w:r>
        <w:rPr>
          <w:rFonts w:ascii="Arial" w:cs="Arial" w:eastAsia="Arial" w:hAnsi="Arial"/>
          <w:b/>
          <w:bCs/>
          <w:sz w:val="32"/>
          <w:szCs w:val="32"/>
        </w:rPr>
        <w:t xml:space="preserve">Тенденции изменения показателей долговой устойчивости
 (государственный внешний долг к ВВП) за прошлый период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53"/>
        <w:gridCol w:w="1085"/>
        <w:gridCol w:w="1085"/>
        <w:gridCol w:w="1085"/>
        <w:gridCol w:w="1085"/>
        <w:gridCol w:w="1085"/>
      </w:tblGrid>
      <w:tr>
        <w:tc>
          <w:tcPr>
            <w:tcW w:type="dxa" w:w="475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Государственный внешний долг</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46,3%</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Поступление займов</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r>
      <w:tr>
        <w:tc>
          <w:tcPr>
            <w:tcW w:type="dxa" w:w="47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bl>
    <w:p>
      <w:pPr>
        <w:spacing w:after="60" w:before="120"/>
        <w:ind w:firstLine="567"/>
        <w:jc w:val="both"/>
      </w:pPr>
      <w:r>
        <w:rPr>
          <w:rFonts w:ascii="Arial" w:cs="Arial" w:eastAsia="Arial" w:hAnsi="Arial"/>
          <w:sz w:val="24"/>
          <w:szCs w:val="24"/>
        </w:rPr>
        <w:t xml:space="preserve">В период с 2012 по 2016 год наблюдается устойчивая тенденция роста объема государственного долга Кыргызской Республики, как в долларах США, так и в сомовом эквиваленте. С 2012 года государственный внешний долг в долларах США увеличился на 23%, а в сомовом эквиваленте - в 1,8 раза. На объем государственного внешнего долга в сомовом эквиваленте большое влияние оказывает обменный курс доллара США.</w:t>
      </w:r>
    </w:p>
    <w:p>
      <w:pPr>
        <w:spacing w:after="60"/>
        <w:ind w:firstLine="567"/>
        <w:jc w:val="both"/>
      </w:pPr>
      <w:r>
        <w:rPr>
          <w:rFonts w:ascii="Arial" w:cs="Arial" w:eastAsia="Arial" w:hAnsi="Arial"/>
          <w:sz w:val="24"/>
          <w:szCs w:val="24"/>
        </w:rPr>
        <w:t xml:space="preserve">В 2016 году отмечается увеличение расходов на обслуживание государственного внешнего долга, в том числе за счет погашения основной суммы долга. 63,4% общей суммы расходов на обслуживание государственного внешнего долга было направлено на погашение основной суммы долга, а 36,6% - на погашение обязательств по начисленным процентам.</w:t>
      </w:r>
    </w:p>
    <w:p>
      <w:pPr>
        <w:spacing w:after="60"/>
        <w:ind w:firstLine="567"/>
        <w:jc w:val="both"/>
      </w:pPr>
      <w:r>
        <w:rPr>
          <w:rFonts w:ascii="Arial" w:cs="Arial" w:eastAsia="Arial" w:hAnsi="Arial"/>
          <w:sz w:val="24"/>
          <w:szCs w:val="24"/>
        </w:rPr>
        <w:t xml:space="preserve">В целях сокращения уровня государственного внешнего долга Правительством Кыргызской Республики в период 2012-2016 годов были проведены следующие мероприятия:</w:t>
      </w:r>
    </w:p>
    <w:p>
      <w:pPr>
        <w:spacing w:after="60"/>
        <w:ind w:firstLine="567"/>
        <w:jc w:val="both"/>
      </w:pPr>
      <w:r>
        <w:rPr>
          <w:rFonts w:ascii="Arial" w:cs="Arial" w:eastAsia="Arial" w:hAnsi="Arial"/>
          <w:sz w:val="24"/>
          <w:szCs w:val="24"/>
        </w:rPr>
        <w:t xml:space="preserve">- 1 декабря 2012 года подписано Соглашение о полном списании задолженности Кыргызской Республики перед Турцией;</w:t>
      </w:r>
    </w:p>
    <w:p>
      <w:pPr>
        <w:spacing w:after="60"/>
        <w:ind w:firstLine="567"/>
        <w:jc w:val="both"/>
      </w:pPr>
      <w:r>
        <w:rPr>
          <w:rFonts w:ascii="Arial" w:cs="Arial" w:eastAsia="Arial" w:hAnsi="Arial"/>
          <w:sz w:val="24"/>
          <w:szCs w:val="24"/>
        </w:rPr>
        <w:t xml:space="preserve">- 20 сентября 2012 года подписано </w:t>
      </w:r>
      <w:hyperlink w:history="1" r:id="rIdokhf7pg9vtdkmc6nu1zan">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об урегулировании задолженности Кыргызской Республики перед Российской Федерацией, которое вступило в силу 22 мая 2013 года. Данное </w:t>
      </w:r>
      <w:hyperlink w:history="1" r:id="rIdk7jef-r62pqueisn9ojiu">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позволило единовременно и в полном объеме списать задолженность в размере 188,9 млн. долл. США;</w:t>
      </w:r>
    </w:p>
    <w:p>
      <w:pPr>
        <w:spacing w:after="60"/>
        <w:ind w:firstLine="567"/>
        <w:jc w:val="both"/>
      </w:pPr>
      <w:r>
        <w:rPr>
          <w:rFonts w:ascii="Arial" w:cs="Arial" w:eastAsia="Arial" w:hAnsi="Arial"/>
          <w:sz w:val="24"/>
          <w:szCs w:val="24"/>
        </w:rPr>
        <w:t xml:space="preserve">- 11 декабря 2012 года подписан Договор о замене долговых обязательств в рамках проекта "Конверсия долга III", согласно которому сумма задолженности Кыргызской Республики перед Федеративной Республикой Германия, подлежащая списанию, составляет 8,5 млн. евро;</w:t>
      </w:r>
    </w:p>
    <w:p>
      <w:pPr>
        <w:spacing w:after="60"/>
        <w:ind w:firstLine="567"/>
        <w:jc w:val="both"/>
      </w:pPr>
      <w:r>
        <w:rPr>
          <w:rFonts w:ascii="Arial" w:cs="Arial" w:eastAsia="Arial" w:hAnsi="Arial"/>
          <w:sz w:val="24"/>
          <w:szCs w:val="24"/>
        </w:rPr>
        <w:t xml:space="preserve">- 19 ноября 2013 года подписано Соглашение о внесении второй поправки в Соглашение по проекту "Модернизация телекоммуникационной сети" между Правительством Кыргызской Республики и Экспортно-импортным банком Кореи". Данное Соглашение позволяет сократить ежегодные платежи с 1,2 млрд. корейских вон (около 1,1 млн. долл. США) до 0,4 млрд. корейских вон (0,3 млн. долл. США), в дополнение сроки погашения основного долга пролонгированы до 2045 года, с началом выплат с 2018 года;</w:t>
      </w:r>
    </w:p>
    <w:p>
      <w:pPr>
        <w:spacing w:after="60"/>
        <w:ind w:firstLine="567"/>
        <w:jc w:val="both"/>
      </w:pPr>
      <w:r>
        <w:rPr>
          <w:rFonts w:ascii="Arial" w:cs="Arial" w:eastAsia="Arial" w:hAnsi="Arial"/>
          <w:sz w:val="24"/>
          <w:szCs w:val="24"/>
        </w:rPr>
        <w:t xml:space="preserve">- 18 мая 2015 года подписано Дополнительное соглашение с Экспортно-импортным банком Китая к Государственному льготному кредитному договору по проекту строительства Бумажной фабрики от 12 апреля 2001 года, согласно которому основная сумма кредита равная 60,2 млн. китайских юаней подлежит погашению пятью равными полугодовыми платежами до 20 июня 2017 года. Также предусмотрено урегулирование технической задолженности по начисленным процентам, которые на сентябрь 2014 года составили 14,2 млн. китайских юаней. В частности, из этой суммы будет списано 10,1 млн. китайских юаней. Оставшаяся часть технической задолженности в размере 4,1 млн. китайских юаней подлежит погашению пятью равными платежами до 20 июня 2017 года, без начисления на них каких-либо процентов;</w:t>
      </w:r>
    </w:p>
    <w:p>
      <w:pPr>
        <w:spacing w:after="60"/>
        <w:ind w:firstLine="567"/>
        <w:jc w:val="both"/>
      </w:pPr>
      <w:r>
        <w:rPr>
          <w:rFonts w:ascii="Arial" w:cs="Arial" w:eastAsia="Arial" w:hAnsi="Arial"/>
          <w:sz w:val="24"/>
          <w:szCs w:val="24"/>
        </w:rPr>
        <w:t xml:space="preserve">- в 2016 году списаны первые 30 млн. долл. США перед Правительством Российской Федерации;</w:t>
      </w:r>
    </w:p>
    <w:p>
      <w:pPr>
        <w:spacing w:after="60"/>
        <w:ind w:firstLine="567"/>
        <w:jc w:val="both"/>
      </w:pPr>
      <w:r>
        <w:rPr>
          <w:rFonts w:ascii="Arial" w:cs="Arial" w:eastAsia="Arial" w:hAnsi="Arial"/>
          <w:sz w:val="24"/>
          <w:szCs w:val="24"/>
        </w:rPr>
        <w:t xml:space="preserve">- в апреле 2016 года в рамках проекта Конверсия долга </w:t>
      </w:r>
      <w:r>
        <w:rPr>
          <w:rFonts w:ascii="Arial" w:cs="Arial" w:eastAsia="Arial" w:hAnsi="Arial"/>
          <w:sz w:val="24"/>
          <w:szCs w:val="24"/>
        </w:rPr>
        <w:t xml:space="preserve">II</w:t>
      </w:r>
      <w:r>
        <w:rPr>
          <w:rFonts w:ascii="Arial" w:cs="Arial" w:eastAsia="Arial" w:hAnsi="Arial"/>
          <w:sz w:val="24"/>
          <w:szCs w:val="24"/>
        </w:rPr>
        <w:t xml:space="preserve"> и III списана задолженность перед Федеративной Республикой Германия в сумме 13,5 млн. евро.</w:t>
      </w:r>
    </w:p>
    <w:p>
      <w:pPr>
        <w:spacing w:after="60"/>
        <w:ind w:firstLine="567"/>
        <w:jc w:val="both"/>
      </w:pPr>
      <w:r>
        <w:rPr>
          <w:rFonts w:ascii="Arial" w:cs="Arial" w:eastAsia="Arial" w:hAnsi="Arial"/>
          <w:sz w:val="24"/>
          <w:szCs w:val="24"/>
        </w:rPr>
        <w:t xml:space="preserve">Макроэкономический эффект внешнего долга. На обслуживание государственного внешнего долга Кыргызской Республики планируется направить в 2018 году 12436,7 млн. сомов, в 2019 году - 15114,3 млн. сомов, в 2020 году - 17221,4 млн. сомов.</w:t>
      </w:r>
    </w:p>
    <w:p>
      <w:pPr>
        <w:spacing w:after="240" w:before="240"/>
        <w:ind w:firstLine="567"/>
        <w:jc w:val="right"/>
      </w:pPr>
      <w:r>
        <w:rPr>
          <w:rFonts w:ascii="Arial" w:cs="Arial" w:eastAsia="Arial" w:hAnsi="Arial"/>
          <w:sz w:val="24"/>
          <w:szCs w:val="24"/>
        </w:rPr>
        <w:t xml:space="preserve">Таблица 17</w:t>
      </w:r>
    </w:p>
    <w:p>
      <w:pPr>
        <w:spacing w:after="240" w:before="200"/>
        <w:jc w:val="center"/>
      </w:pPr>
      <w:r>
        <w:rPr>
          <w:rFonts w:ascii="Arial" w:cs="Arial" w:eastAsia="Arial" w:hAnsi="Arial"/>
          <w:b/>
          <w:bCs/>
          <w:sz w:val="32"/>
          <w:szCs w:val="32"/>
        </w:rPr>
        <w:t xml:space="preserve">Текущий долг, поступления и погашение внешних займов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84"/>
        <w:gridCol w:w="1223"/>
        <w:gridCol w:w="1223"/>
        <w:gridCol w:w="1223"/>
        <w:gridCol w:w="1223"/>
      </w:tblGrid>
      <w:tr>
        <w:tc>
          <w:tcPr>
            <w:tcW w:type="dxa" w:w="52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279535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300652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331653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357179</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34096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33366</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31955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27855</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12437</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15114</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17221</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4041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4245</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4743</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5169</w:t>
            </w:r>
          </w:p>
        </w:tc>
      </w:tr>
      <w:tr>
        <w:tc>
          <w:tcPr>
            <w:tcW w:type="dxa" w:w="52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7082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8192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10372</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12052</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240" w:before="240"/>
        <w:ind w:firstLine="567"/>
        <w:jc w:val="right"/>
      </w:pPr>
      <w:r>
        <w:rPr>
          <w:rFonts w:ascii="Arial" w:cs="Arial" w:eastAsia="Arial" w:hAnsi="Arial"/>
          <w:sz w:val="24"/>
          <w:szCs w:val="24"/>
        </w:rPr>
        <w:t xml:space="preserve">Таблица 18</w:t>
      </w:r>
    </w:p>
    <w:p>
      <w:pPr>
        <w:spacing w:after="240" w:before="200"/>
        <w:jc w:val="center"/>
      </w:pPr>
      <w:r>
        <w:rPr>
          <w:rFonts w:ascii="Arial" w:cs="Arial" w:eastAsia="Arial" w:hAnsi="Arial"/>
          <w:b/>
          <w:bCs/>
          <w:sz w:val="32"/>
          <w:szCs w:val="32"/>
        </w:rPr>
        <w:t xml:space="preserve">Текущий долг, поступления и погашение внешних займов (в млн. долл. США)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8"/>
        <w:gridCol w:w="1215"/>
        <w:gridCol w:w="1215"/>
        <w:gridCol w:w="1215"/>
        <w:gridCol w:w="1215"/>
      </w:tblGrid>
      <w:tr>
        <w:tc>
          <w:tcPr>
            <w:tcW w:type="dxa" w:w="5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3845</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4494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4706</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w:t>
            </w:r>
          </w:p>
        </w:tc>
      </w:tr>
    </w:tbl>
    <w:p>
      <w:pPr>
        <w:spacing w:after="60" w:before="120"/>
        <w:ind w:firstLine="567"/>
        <w:jc w:val="both"/>
      </w:pPr>
      <w:r>
        <w:rPr>
          <w:rFonts w:ascii="Arial" w:cs="Arial" w:eastAsia="Arial" w:hAnsi="Arial"/>
          <w:sz w:val="24"/>
          <w:szCs w:val="24"/>
        </w:rPr>
        <w:t xml:space="preserve">(*) По данным Управления международного сотрудничества МФКР.</w:t>
      </w:r>
    </w:p>
    <w:p>
      <w:pPr>
        <w:spacing w:after="60"/>
        <w:ind w:firstLine="567"/>
        <w:jc w:val="right"/>
      </w:pPr>
      <w:r>
        <w:rPr>
          <w:rFonts w:ascii="Arial" w:cs="Arial" w:eastAsia="Arial" w:hAnsi="Arial"/>
          <w:sz w:val="24"/>
          <w:szCs w:val="24"/>
        </w:rPr>
        <w:t xml:space="preserve">Таблица 19</w:t>
      </w:r>
    </w:p>
    <w:p>
      <w:pPr>
        <w:spacing w:after="240" w:before="200"/>
        <w:jc w:val="center"/>
      </w:pPr>
      <w:r>
        <w:rPr>
          <w:rFonts w:ascii="Arial" w:cs="Arial" w:eastAsia="Arial" w:hAnsi="Arial"/>
          <w:b/>
          <w:bCs/>
          <w:sz w:val="32"/>
          <w:szCs w:val="32"/>
        </w:rPr>
        <w:t xml:space="preserve">Текущий долг, поступления и погашение внешних займов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18"/>
        <w:gridCol w:w="1215"/>
        <w:gridCol w:w="1215"/>
        <w:gridCol w:w="1215"/>
        <w:gridCol w:w="1215"/>
      </w:tblGrid>
      <w:tr>
        <w:tc>
          <w:tcPr>
            <w:tcW w:type="dxa" w:w="531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 включая:</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проценты</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r>
      <w:tr>
        <w:tc>
          <w:tcPr>
            <w:tcW w:type="dxa" w:w="53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основная сумма</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bl>
    <w:p>
      <w:pPr>
        <w:spacing w:after="60" w:before="120"/>
        <w:ind w:firstLine="567"/>
        <w:jc w:val="both"/>
      </w:pPr>
      <w:r>
        <w:rPr>
          <w:rFonts w:ascii="Arial" w:cs="Arial" w:eastAsia="Arial" w:hAnsi="Arial"/>
          <w:sz w:val="24"/>
          <w:szCs w:val="24"/>
        </w:rPr>
        <w:t xml:space="preserve">Бюджет обслуживания государственного внешнего долга Кыргызской Республики на 2018 год и прогноз на 2019-2020 годы составлен с учетом проводимой Правительством Кыргызской Республики работы, направленной на обеспечение строгой дисциплины привлечения и расходования иностранных займов, соизмеряемой со следующими целевыми ориентирами:</w:t>
      </w:r>
    </w:p>
    <w:p>
      <w:pPr>
        <w:spacing w:after="60"/>
        <w:ind w:firstLine="567"/>
        <w:jc w:val="both"/>
      </w:pPr>
      <w:r>
        <w:rPr>
          <w:rFonts w:ascii="Arial" w:cs="Arial" w:eastAsia="Arial" w:hAnsi="Arial"/>
          <w:sz w:val="24"/>
          <w:szCs w:val="24"/>
        </w:rPr>
        <w:t xml:space="preserve">- недопущение просрочек по платежам по погашению государственного внешнего долга Кыргызской Республики (за исключением технических просрочек, которые образуются в ходе переговорного процесса по заключению соглашений о реструктуризации двустороннего долга);</w:t>
      </w:r>
    </w:p>
    <w:p>
      <w:pPr>
        <w:spacing w:after="60"/>
        <w:ind w:firstLine="567"/>
        <w:jc w:val="both"/>
      </w:pPr>
      <w:r>
        <w:rPr>
          <w:rFonts w:ascii="Arial" w:cs="Arial" w:eastAsia="Arial" w:hAnsi="Arial"/>
          <w:sz w:val="24"/>
          <w:szCs w:val="24"/>
        </w:rPr>
        <w:t xml:space="preserve">- сохранение 35,0% минимального уровня льготности для новых внешних заимствований и запрет местным органам государственного управления привлекать внешние займы без соответствующего разрешения Министерства финансов Кыргызской Республики;</w:t>
      </w:r>
    </w:p>
    <w:p>
      <w:pPr>
        <w:spacing w:after="60"/>
        <w:ind w:firstLine="567"/>
        <w:jc w:val="both"/>
      </w:pPr>
      <w:r>
        <w:rPr>
          <w:rFonts w:ascii="Arial" w:cs="Arial" w:eastAsia="Arial" w:hAnsi="Arial"/>
          <w:sz w:val="24"/>
          <w:szCs w:val="24"/>
        </w:rPr>
        <w:t xml:space="preserve">- следование количественным и качественным требованиям государственных инвестиций в процессе осуществления новых внешних заимствований.</w:t>
      </w:r>
    </w:p>
    <w:p>
      <w:pPr>
        <w:spacing w:after="60"/>
        <w:ind w:firstLine="567"/>
        <w:jc w:val="both"/>
      </w:pPr>
      <w:r>
        <w:rPr>
          <w:rFonts w:ascii="Arial" w:cs="Arial" w:eastAsia="Arial" w:hAnsi="Arial"/>
          <w:sz w:val="24"/>
          <w:szCs w:val="24"/>
        </w:rPr>
        <w:t xml:space="preserve">При составлении среднесрочного прогноза бюджета учитывались следующие исходные данные:</w:t>
      </w:r>
    </w:p>
    <w:p>
      <w:pPr>
        <w:spacing w:after="60"/>
        <w:ind w:firstLine="567"/>
        <w:jc w:val="both"/>
      </w:pPr>
      <w:r>
        <w:rPr>
          <w:rFonts w:ascii="Arial" w:cs="Arial" w:eastAsia="Arial" w:hAnsi="Arial"/>
          <w:sz w:val="24"/>
          <w:szCs w:val="24"/>
        </w:rPr>
        <w:t xml:space="preserve">- сумма освоенного и непогашенного государственного внешнего долга на 31 декабря 2016 года, которая составила 259,0 млрд. сомов;</w:t>
      </w:r>
    </w:p>
    <w:p>
      <w:pPr>
        <w:spacing w:after="60"/>
        <w:ind w:firstLine="567"/>
        <w:jc w:val="both"/>
      </w:pPr>
      <w:r>
        <w:rPr>
          <w:rFonts w:ascii="Arial" w:cs="Arial" w:eastAsia="Arial" w:hAnsi="Arial"/>
          <w:sz w:val="24"/>
          <w:szCs w:val="24"/>
        </w:rPr>
        <w:t xml:space="preserve">- графики погашения действующих и запланированных займов;</w:t>
      </w:r>
    </w:p>
    <w:p>
      <w:pPr>
        <w:spacing w:after="60"/>
        <w:ind w:firstLine="567"/>
        <w:jc w:val="both"/>
      </w:pPr>
      <w:r>
        <w:rPr>
          <w:rFonts w:ascii="Arial" w:cs="Arial" w:eastAsia="Arial" w:hAnsi="Arial"/>
          <w:sz w:val="24"/>
          <w:szCs w:val="24"/>
        </w:rPr>
        <w:t xml:space="preserve">- прогноз освоения кредитных средств по действующим и запланированным внешним и внутренним заимствованиям;</w:t>
      </w:r>
    </w:p>
    <w:p>
      <w:pPr>
        <w:spacing w:after="60"/>
        <w:ind w:firstLine="567"/>
        <w:jc w:val="both"/>
      </w:pPr>
      <w:r>
        <w:rPr>
          <w:rFonts w:ascii="Arial" w:cs="Arial" w:eastAsia="Arial" w:hAnsi="Arial"/>
          <w:sz w:val="24"/>
          <w:szCs w:val="24"/>
        </w:rPr>
        <w:t xml:space="preserve">- прогнозный обменный курс доллара США на 2018 год - 71,6 сома, 2019 год - 73,8 сома, 2020 год - 75,9 сома;</w:t>
      </w:r>
    </w:p>
    <w:p>
      <w:pPr>
        <w:spacing w:after="60"/>
        <w:ind w:firstLine="567"/>
        <w:jc w:val="both"/>
      </w:pPr>
      <w:r>
        <w:rPr>
          <w:rFonts w:ascii="Arial" w:cs="Arial" w:eastAsia="Arial" w:hAnsi="Arial"/>
          <w:sz w:val="24"/>
          <w:szCs w:val="24"/>
        </w:rPr>
        <w:t xml:space="preserve">- прогнозные обменные курсы иностранных валют по отношению к доллару США, рассчитанные на базе фактически сложившихся курсов с марта 2016 года по март 2017 года.</w:t>
      </w:r>
    </w:p>
    <w:p>
      <w:pPr>
        <w:spacing w:after="60"/>
        <w:ind w:firstLine="567"/>
        <w:jc w:val="both"/>
      </w:pPr>
      <w:r>
        <w:rPr>
          <w:rFonts w:ascii="Arial" w:cs="Arial" w:eastAsia="Arial" w:hAnsi="Arial"/>
          <w:sz w:val="24"/>
          <w:szCs w:val="24"/>
        </w:rPr>
        <w:t xml:space="preserve">По предварительным данным, объем государственного внешнего долга к ВВП останется на уровне 56,0%. Как видно из вышеуказанных таблиц, объемы привлечения внешних займов превышают суммы по погашению обязательств по внешним кредитам. Это приведет к тому, что объем государственного внешнего долга в 2017-2020 годы в номинальном объеме будет увеличиваться. В связи с наступлением сроков погашения по основным суммам привлеченных займов отмечается ежегодное увеличение расходов по выплате основной суммы по кредитам.</w:t>
      </w:r>
    </w:p>
    <w:p>
      <w:pPr>
        <w:spacing w:after="60"/>
        <w:ind w:firstLine="567"/>
        <w:jc w:val="both"/>
      </w:pPr>
      <w:r>
        <w:rPr>
          <w:rFonts w:ascii="Arial" w:cs="Arial" w:eastAsia="Arial" w:hAnsi="Arial"/>
          <w:sz w:val="24"/>
          <w:szCs w:val="24"/>
        </w:rPr>
        <w:t xml:space="preserve">Для проведения прогнозных расчетов объема государственного внешнего долга на 2017-2020 годы приняты следующие меры:</w:t>
      </w:r>
    </w:p>
    <w:p>
      <w:pPr>
        <w:spacing w:after="60"/>
        <w:ind w:firstLine="567"/>
        <w:jc w:val="both"/>
      </w:pPr>
      <w:r>
        <w:rPr>
          <w:rFonts w:ascii="Arial" w:cs="Arial" w:eastAsia="Arial" w:hAnsi="Arial"/>
          <w:sz w:val="24"/>
          <w:szCs w:val="24"/>
        </w:rPr>
        <w:t xml:space="preserve">- освоение средств по кредитам в рамках ГИ и программной помощи;</w:t>
      </w:r>
    </w:p>
    <w:p>
      <w:pPr>
        <w:spacing w:after="60"/>
        <w:ind w:firstLine="567"/>
        <w:jc w:val="both"/>
      </w:pPr>
      <w:r>
        <w:rPr>
          <w:rFonts w:ascii="Arial" w:cs="Arial" w:eastAsia="Arial" w:hAnsi="Arial"/>
          <w:sz w:val="24"/>
          <w:szCs w:val="24"/>
        </w:rPr>
        <w:t xml:space="preserve">- погашение основной суммы по кредитам;</w:t>
      </w:r>
    </w:p>
    <w:p>
      <w:pPr>
        <w:spacing w:after="60"/>
        <w:ind w:firstLine="567"/>
        <w:jc w:val="both"/>
      </w:pPr>
      <w:r>
        <w:rPr>
          <w:rFonts w:ascii="Arial" w:cs="Arial" w:eastAsia="Arial" w:hAnsi="Arial"/>
          <w:sz w:val="24"/>
          <w:szCs w:val="24"/>
        </w:rPr>
        <w:t xml:space="preserve">- прогнозные данные ВВП;</w:t>
      </w:r>
    </w:p>
    <w:p>
      <w:pPr>
        <w:spacing w:after="60"/>
        <w:ind w:firstLine="567"/>
        <w:jc w:val="both"/>
      </w:pPr>
      <w:r>
        <w:rPr>
          <w:rFonts w:ascii="Arial" w:cs="Arial" w:eastAsia="Arial" w:hAnsi="Arial"/>
          <w:sz w:val="24"/>
          <w:szCs w:val="24"/>
        </w:rPr>
        <w:t xml:space="preserve">- прогнозная динамика обменного курса.</w:t>
      </w:r>
    </w:p>
    <w:p>
      <w:pPr>
        <w:spacing w:after="60"/>
        <w:ind w:firstLine="567"/>
        <w:jc w:val="both"/>
      </w:pPr>
      <w:r>
        <w:rPr>
          <w:rFonts w:ascii="Arial" w:cs="Arial" w:eastAsia="Arial" w:hAnsi="Arial"/>
          <w:sz w:val="24"/>
          <w:szCs w:val="24"/>
        </w:rPr>
        <w:t xml:space="preserve">При этом фактические объемы внешнего долга будут зависеть от фактически сложившихся показателей обменного курса иностранных валют, размера освоенных заемных средств, а также от проведения различных операций по управлению долговыми обязательствами (реструктуризация, списание, конверсионные операции и прочие).</w:t>
      </w:r>
    </w:p>
    <w:p>
      <w:pPr>
        <w:spacing w:after="200" w:before="200"/>
        <w:jc w:val="center"/>
      </w:pPr>
      <w:r>
        <w:rPr>
          <w:rFonts w:ascii="Arial" w:cs="Arial" w:eastAsia="Arial" w:hAnsi="Arial"/>
          <w:b/>
          <w:bCs/>
          <w:sz w:val="32"/>
          <w:szCs w:val="32"/>
        </w:rPr>
        <w:t xml:space="preserve">Тенденции динамики внутреннего долга за прошлые периоды</w:t>
      </w:r>
    </w:p>
    <w:p>
      <w:pPr>
        <w:spacing w:after="60"/>
        <w:ind w:firstLine="567"/>
        <w:jc w:val="right"/>
      </w:pPr>
      <w:r>
        <w:rPr>
          <w:rFonts w:ascii="Arial" w:cs="Arial" w:eastAsia="Arial" w:hAnsi="Arial"/>
          <w:sz w:val="24"/>
          <w:szCs w:val="24"/>
        </w:rPr>
        <w:t xml:space="preserve">Таблица 20</w:t>
      </w:r>
    </w:p>
    <w:p>
      <w:pPr>
        <w:spacing w:after="240" w:before="200"/>
        <w:jc w:val="center"/>
      </w:pPr>
      <w:r>
        <w:rPr>
          <w:rFonts w:ascii="Arial" w:cs="Arial" w:eastAsia="Arial" w:hAnsi="Arial"/>
          <w:b/>
          <w:bCs/>
          <w:sz w:val="32"/>
          <w:szCs w:val="32"/>
        </w:rPr>
        <w:t xml:space="preserve">Тенденции изменения внутреннего долга (в млн. сом. и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17"/>
        <w:gridCol w:w="1132"/>
        <w:gridCol w:w="1132"/>
        <w:gridCol w:w="1132"/>
        <w:gridCol w:w="1132"/>
        <w:gridCol w:w="1132"/>
      </w:tblGrid>
      <w:tr>
        <w:tc>
          <w:tcPr>
            <w:tcW w:type="dxa" w:w="451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13006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12362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15484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22340</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6974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7602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7724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8222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15994</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8012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8564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11519</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1378</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1307</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1270</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1769</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6634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8859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7342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5611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9750</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0177"/>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45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переоформление и/или списание</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Как видно из таблицы, в 2013 году размер государственного внутреннего долга был сокращен вследствие полного погашения обязательств по ГКО, держателями которых являлись нефинансовые организации, ГКО со сроком обращения 3 года, ГКВ-урегулирования, выпущенных в целях урегулирования финансовых отношений между Правительством Кыргызской Республики и Национальным банком Кыргызской Республики. Однако с 2014 года снова отмечается тенденция роста государственного внутреннего долга Кыргызской Республики. На объем государственного внутреннего долга особое влияние оказывает уровень инфляции, так как доходность по государственным ценным бумагам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В период с 2012 по 2016 год наблюдается тенденция увеличения поступлений средств от размещения ГЦБ на 129,0%. Это связано с увеличением объемов финансирования дефицита республиканского бюджета и развитием рынка ГЦБ.</w:t>
      </w:r>
    </w:p>
    <w:p>
      <w:pPr>
        <w:spacing w:after="60"/>
        <w:ind w:firstLine="567"/>
        <w:jc w:val="both"/>
      </w:pPr>
      <w:r>
        <w:rPr>
          <w:rFonts w:ascii="Arial" w:cs="Arial" w:eastAsia="Arial" w:hAnsi="Arial"/>
          <w:sz w:val="24"/>
          <w:szCs w:val="24"/>
        </w:rPr>
        <w:t xml:space="preserve">В 2012-2016 годах расходы республиканского бюджета на обслуживание государственного внутреннего долга Кыргызской Республики составили: в 2012 году - 8012,0 млн. сомов, 2013 году - 10166,4 млн. сомов, 2014 году - 8563,7 млн. сомов, 2015 году - 6880,7 млн. сомов, в 2016 году - 11518,7 млн. сомов. Значительный объем расходов на выплату обязательств по основной сумме приходится на 2016 год, что связано с полным погашением обязательств по ГКО, держателями которых являлись нефинансовые организации, ГКО со сроком обращения 5 лет.</w:t>
      </w:r>
    </w:p>
    <w:p>
      <w:pPr>
        <w:spacing w:after="200" w:before="200"/>
        <w:jc w:val="center"/>
      </w:pPr>
      <w:r>
        <w:rPr>
          <w:rFonts w:ascii="Arial" w:cs="Arial" w:eastAsia="Arial" w:hAnsi="Arial"/>
          <w:b/>
          <w:bCs/>
          <w:sz w:val="32"/>
          <w:szCs w:val="32"/>
        </w:rPr>
        <w:t xml:space="preserve">Объяснения будущих тенденций изменения внутреннего долга</w:t>
      </w:r>
    </w:p>
    <w:p>
      <w:pPr>
        <w:spacing w:after="60"/>
        <w:ind w:firstLine="567"/>
        <w:jc w:val="right"/>
      </w:pPr>
      <w:r>
        <w:rPr>
          <w:rFonts w:ascii="Arial" w:cs="Arial" w:eastAsia="Arial" w:hAnsi="Arial"/>
          <w:sz w:val="24"/>
          <w:szCs w:val="24"/>
        </w:rPr>
        <w:t xml:space="preserve">Таблица 21</w:t>
      </w:r>
    </w:p>
    <w:p>
      <w:pPr>
        <w:spacing w:after="240" w:before="200"/>
        <w:jc w:val="center"/>
      </w:pPr>
      <w:r>
        <w:rPr>
          <w:rFonts w:ascii="Arial" w:cs="Arial" w:eastAsia="Arial" w:hAnsi="Arial"/>
          <w:b/>
          <w:bCs/>
          <w:sz w:val="32"/>
          <w:szCs w:val="32"/>
        </w:rPr>
        <w:t xml:space="preserve">Текущий долг, признание новых обязательств, поступления и обслуживание
 внутреннего долга (в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2"/>
        <w:gridCol w:w="1374"/>
        <w:gridCol w:w="1374"/>
        <w:gridCol w:w="1374"/>
        <w:gridCol w:w="1374"/>
      </w:tblGrid>
      <w:tr>
        <w:tc>
          <w:tcPr>
            <w:tcW w:type="dxa" w:w="468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41925</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14500</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12052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17641</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16768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17073</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13903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16906</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 по ГКВ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6747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10376</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14402</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 % к ВВП</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долга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Поступления займов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Принятие обязательств</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Погашение задолженности</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проценты</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68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 которых основная сумма</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3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bl>
    <w:p>
      <w:pPr>
        <w:spacing w:after="60" w:before="120"/>
        <w:ind w:firstLine="567"/>
        <w:jc w:val="both"/>
      </w:pPr>
      <w:r>
        <w:rPr>
          <w:rFonts w:ascii="Arial" w:cs="Arial" w:eastAsia="Arial" w:hAnsi="Arial"/>
          <w:sz w:val="24"/>
          <w:szCs w:val="24"/>
        </w:rPr>
        <w:t xml:space="preserve">В 2018-2020 годах для финансирования дефицита республиканского бюджета и в целях дальнейшего развития рынка ГЦБ бюджет республики планируется обеспечить поступлениями от размещения ГЦБ в следующих объемах: в 2018 году - 15500,0 млн. сомов, 2019 году - 14500,0 млн. сомов, 2020 году - 14500,0 млн. сомов. Структура выпуска и размещения ГЦБ в 2018-2020 годах пересмотрена в сторону увеличения долгосрочных ценных бумаг (государственные казначейские облигации со сроком обращения свыше 1 года). Повышение объемов долгосрочных ГЦБ связано с целью постепенного увеличения сроков обращения ГЦБ и привлечением более длинных денежных средств. При этом возможны потенциальные риски недопоступления средств от выпуска и размещения ГЦБ в предусмотренных на 2018-2020 годы объемах, так как объем поступлений от размещения ГЦБ будет зависеть от складывающейся ситуации на финансовом рынке Кыргызской Республики, а также от изменения показателей доходности и структуры спроса на ГЦБ.</w:t>
      </w:r>
    </w:p>
    <w:p>
      <w:pPr>
        <w:spacing w:after="60"/>
        <w:ind w:firstLine="567"/>
        <w:jc w:val="both"/>
      </w:pPr>
      <w:r>
        <w:rPr>
          <w:rFonts w:ascii="Arial" w:cs="Arial" w:eastAsia="Arial" w:hAnsi="Arial"/>
          <w:sz w:val="24"/>
          <w:szCs w:val="24"/>
        </w:rPr>
        <w:t xml:space="preserve">В случае роста инфляции выше прогнозируемой может возникнуть риск увеличения расходов на оплату процентных платежей по ГЦБ, так как доходность по ГЦБ устанавливается участниками рынка ГЦБ, в том числе с учетом ожидаемой инфляции.</w:t>
      </w:r>
    </w:p>
    <w:p>
      <w:pPr>
        <w:spacing w:after="60"/>
        <w:ind w:firstLine="567"/>
        <w:jc w:val="both"/>
      </w:pPr>
      <w:r>
        <w:rPr>
          <w:rFonts w:ascii="Arial" w:cs="Arial" w:eastAsia="Arial" w:hAnsi="Arial"/>
          <w:sz w:val="24"/>
          <w:szCs w:val="24"/>
        </w:rPr>
        <w:t xml:space="preserve">На обслуживание государственного внутреннего долга Кыргызской Республики планируется направить в 2018 году 12942,2 млн. сомов, в 2019 году - 13902,5 млн. сомов, в 2020 году - 16905,8 млн. сомов.</w:t>
      </w:r>
    </w:p>
    <w:p>
      <w:pPr>
        <w:spacing w:after="200" w:before="200"/>
        <w:jc w:val="center"/>
      </w:pPr>
      <w:r>
        <w:rPr>
          <w:rFonts w:ascii="Arial" w:cs="Arial" w:eastAsia="Arial" w:hAnsi="Arial"/>
          <w:b/>
          <w:bCs/>
          <w:sz w:val="32"/>
          <w:szCs w:val="32"/>
        </w:rPr>
        <w:t xml:space="preserve">Сравнение показателей по внешнему и внутреннему долгу</w:t>
      </w:r>
    </w:p>
    <w:p>
      <w:pPr>
        <w:spacing w:after="60"/>
        <w:ind w:firstLine="567"/>
        <w:jc w:val="right"/>
      </w:pPr>
      <w:r>
        <w:rPr>
          <w:rFonts w:ascii="Arial" w:cs="Arial" w:eastAsia="Arial" w:hAnsi="Arial"/>
          <w:sz w:val="24"/>
          <w:szCs w:val="24"/>
        </w:rPr>
        <w:t xml:space="preserve">Таблица 22</w:t>
      </w:r>
    </w:p>
    <w:p>
      <w:pPr>
        <w:spacing w:after="240" w:before="200"/>
        <w:jc w:val="center"/>
      </w:pPr>
      <w:r>
        <w:rPr>
          <w:rFonts w:ascii="Arial" w:cs="Arial" w:eastAsia="Arial" w:hAnsi="Arial"/>
          <w:b/>
          <w:bCs/>
          <w:sz w:val="32"/>
          <w:szCs w:val="32"/>
        </w:rPr>
        <w:t xml:space="preserve">Сравнительный анализ внешнего и внутреннего долга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16"/>
        <w:gridCol w:w="710"/>
        <w:gridCol w:w="710"/>
        <w:gridCol w:w="710"/>
        <w:gridCol w:w="710"/>
        <w:gridCol w:w="710"/>
        <w:gridCol w:w="710"/>
      </w:tblGrid>
      <w:tr>
        <w:tc>
          <w:tcPr>
            <w:tcW w:type="dxa" w:w="591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7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внутренние заимствования в % к чистым суммарным заимствованиям</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34,2%</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внешние заимствования в % к чистым суммарным заимствованиям</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65,8%</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Чистые суммарные заимствования (сом)</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28524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41737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45096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48866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46455</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42355</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внутреннего долга в % к суммарному размеру долга</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внешнего долга в % к суммарному размеру долга</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89,8%</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89,5%</w:t>
            </w:r>
          </w:p>
        </w:tc>
      </w:tr>
      <w:tr>
        <w:tc>
          <w:tcPr>
            <w:tcW w:type="dxa" w:w="591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Суммарный размер долга</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288804</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281450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306742</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334880</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371256</w:t>
            </w:r>
          </w:p>
        </w:tc>
        <w:tc>
          <w:tcPr>
            <w:tcW w:type="dxa" w:w="7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399104</w:t>
            </w:r>
          </w:p>
        </w:tc>
      </w:tr>
    </w:tbl>
    <w:p>
      <w:pPr>
        <w:spacing w:after="60" w:before="120"/>
        <w:ind w:firstLine="567"/>
        <w:jc w:val="both"/>
      </w:pPr>
      <w:r>
        <w:rPr>
          <w:rFonts w:ascii="Arial" w:cs="Arial" w:eastAsia="Arial" w:hAnsi="Arial"/>
          <w:sz w:val="24"/>
          <w:szCs w:val="24"/>
        </w:rPr>
        <w:t xml:space="preserve">В прогнозируемом периоде наглядно отражено преобладание тенденции внешних чистых заимствований в общем объеме заимствований. Объем государственного внешнего долга составляет более 90,0% от суммарного объема государственного долга.</w:t>
      </w:r>
    </w:p>
    <w:p>
      <w:pPr>
        <w:spacing w:after="60"/>
        <w:ind w:firstLine="567"/>
        <w:jc w:val="both"/>
      </w:pPr>
      <w:r>
        <w:rPr>
          <w:rFonts w:ascii="Arial" w:cs="Arial" w:eastAsia="Arial" w:hAnsi="Arial"/>
          <w:sz w:val="24"/>
          <w:szCs w:val="24"/>
        </w:rPr>
        <w:t xml:space="preserve">Стратегия управления государственным долгом. В целях обеспечения эффективного управления государственным долгом в среднесрочном периоде действия Правительства Кыргызской Республики будут направлены:</w:t>
      </w:r>
    </w:p>
    <w:p>
      <w:pPr>
        <w:spacing w:after="60"/>
        <w:ind w:firstLine="567"/>
        <w:jc w:val="both"/>
      </w:pPr>
      <w:r>
        <w:rPr>
          <w:rFonts w:ascii="Arial" w:cs="Arial" w:eastAsia="Arial" w:hAnsi="Arial"/>
          <w:sz w:val="24"/>
          <w:szCs w:val="24"/>
        </w:rPr>
        <w:t xml:space="preserve">- на привлечение новых внешних заимствований только на наиболее приоритетные программы и проекты, которые будут содействовать экономическому росту и сокращению бедности;</w:t>
      </w:r>
    </w:p>
    <w:p>
      <w:pPr>
        <w:spacing w:after="60"/>
        <w:ind w:firstLine="567"/>
        <w:jc w:val="both"/>
      </w:pPr>
      <w:r>
        <w:rPr>
          <w:rFonts w:ascii="Arial" w:cs="Arial" w:eastAsia="Arial" w:hAnsi="Arial"/>
          <w:sz w:val="24"/>
          <w:szCs w:val="24"/>
        </w:rPr>
        <w:t xml:space="preserve">- на привлечение новых государственных внешних заимствований с соблюдением минимального уровня льготности займов (грант-элемент) в 35%;</w:t>
      </w:r>
    </w:p>
    <w:p>
      <w:pPr>
        <w:spacing w:after="60"/>
        <w:ind w:firstLine="567"/>
        <w:jc w:val="both"/>
      </w:pPr>
      <w:r>
        <w:rPr>
          <w:rFonts w:ascii="Arial" w:cs="Arial" w:eastAsia="Arial" w:hAnsi="Arial"/>
          <w:sz w:val="24"/>
          <w:szCs w:val="24"/>
        </w:rPr>
        <w:t xml:space="preserve">- в целях диверсификации портфеля внешнего долга и сокращения потенциальных рисков, связанных с концентрацией долга, в процессе привлечения внешних заимствований Правительство Кыргызской Республики намеревается руководствоваться количественным ограничением образования задолженности перед одним кредитором не более чем 50 процентов общей суммы внешнего долга;</w:t>
      </w:r>
    </w:p>
    <w:p>
      <w:pPr>
        <w:spacing w:after="60"/>
        <w:ind w:firstLine="567"/>
        <w:jc w:val="both"/>
      </w:pPr>
      <w:r>
        <w:rPr>
          <w:rFonts w:ascii="Arial" w:cs="Arial" w:eastAsia="Arial" w:hAnsi="Arial"/>
          <w:sz w:val="24"/>
          <w:szCs w:val="24"/>
        </w:rPr>
        <w:t xml:space="preserve">- во избежание потенциально высоких издержек и рисков Правительство Кыргызской Республики намеревается воздерживаться от привлечения заимствований посредством выпуска и размещения на внешних финансовых рынках облигаций в иностранной валюте;</w:t>
      </w:r>
    </w:p>
    <w:p>
      <w:pPr>
        <w:spacing w:after="60"/>
        <w:ind w:firstLine="567"/>
        <w:jc w:val="both"/>
      </w:pPr>
      <w:r>
        <w:rPr>
          <w:rFonts w:ascii="Arial" w:cs="Arial" w:eastAsia="Arial" w:hAnsi="Arial"/>
          <w:sz w:val="24"/>
          <w:szCs w:val="24"/>
        </w:rPr>
        <w:t xml:space="preserve">- на привлечение государственных внутренних заимствований только посредством выпуска ГЦБ и их размещение через рыночные механизмы ценообразования, в частности через аукционы;</w:t>
      </w:r>
    </w:p>
    <w:p>
      <w:pPr>
        <w:spacing w:after="60"/>
        <w:ind w:firstLine="567"/>
        <w:jc w:val="both"/>
      </w:pPr>
      <w:r>
        <w:rPr>
          <w:rFonts w:ascii="Arial" w:cs="Arial" w:eastAsia="Arial" w:hAnsi="Arial"/>
          <w:sz w:val="24"/>
          <w:szCs w:val="24"/>
        </w:rPr>
        <w:t xml:space="preserve">- на развитие рынка ГЦБ, в том числе посредством мероприятий по увеличению общего срока обращения ГЦБ:</w:t>
      </w:r>
    </w:p>
    <w:p>
      <w:pPr>
        <w:spacing w:after="60"/>
        <w:ind w:firstLine="567"/>
        <w:jc w:val="both"/>
      </w:pPr>
      <w:r>
        <w:rPr>
          <w:rFonts w:ascii="Arial" w:cs="Arial" w:eastAsia="Arial" w:hAnsi="Arial"/>
          <w:sz w:val="24"/>
          <w:szCs w:val="24"/>
        </w:rPr>
        <w:t xml:space="preserve">- на своевременное и полное обслуживание государственного долга Кыргызской Республики;</w:t>
      </w:r>
    </w:p>
    <w:p>
      <w:pPr>
        <w:spacing w:after="60"/>
        <w:ind w:firstLine="567"/>
        <w:jc w:val="both"/>
      </w:pPr>
      <w:r>
        <w:rPr>
          <w:rFonts w:ascii="Arial" w:cs="Arial" w:eastAsia="Arial" w:hAnsi="Arial"/>
          <w:sz w:val="24"/>
          <w:szCs w:val="24"/>
        </w:rPr>
        <w:t xml:space="preserve">- на строгое соблюдение законодательства Кыргызской Республики, проведение регулярного контроля размера, структуры и обычных рисков в управлении государственным долгом и обеспечения дальнейшего совершенствования индикаторов устойчивости государственного долга в соответствии с установленными международными нормами.</w:t>
      </w:r>
    </w:p>
    <w:p>
      <w:pPr>
        <w:spacing w:after="200" w:before="200"/>
        <w:jc w:val="center"/>
      </w:pPr>
      <w:r>
        <w:rPr>
          <w:rFonts w:ascii="Arial" w:cs="Arial" w:eastAsia="Arial" w:hAnsi="Arial"/>
          <w:b/>
          <w:bCs/>
          <w:sz w:val="24"/>
          <w:szCs w:val="24"/>
        </w:rPr>
        <w:t xml:space="preserve">5. Реформа межбюджетных отношений</w:t>
      </w:r>
    </w:p>
    <w:p>
      <w:pPr>
        <w:spacing w:after="60"/>
        <w:ind w:firstLine="567"/>
        <w:jc w:val="both"/>
      </w:pPr>
      <w:r>
        <w:rPr>
          <w:rFonts w:ascii="Arial" w:cs="Arial" w:eastAsia="Arial" w:hAnsi="Arial"/>
          <w:sz w:val="24"/>
          <w:szCs w:val="24"/>
        </w:rPr>
        <w:t xml:space="preserve">За последние годы произошли принципиальные изменения финансовых взаимоотношений бюджетов различных уровней в условиях финансовой децентрализации, повышения бюджетной дисциплины, прозрачности и стабильности распределения финансовых ресурсов.</w:t>
      </w:r>
    </w:p>
    <w:p>
      <w:pPr>
        <w:spacing w:after="60"/>
        <w:ind w:firstLine="567"/>
        <w:jc w:val="both"/>
      </w:pPr>
      <w:r>
        <w:rPr>
          <w:rFonts w:ascii="Arial" w:cs="Arial" w:eastAsia="Arial" w:hAnsi="Arial"/>
          <w:sz w:val="24"/>
          <w:szCs w:val="24"/>
        </w:rPr>
        <w:t xml:space="preserve">В результате упорядочено бюджетное устройство, разграничены полномочия между государственными органами, органами местного самоуправления, установлены стабильные доходные источники бюджетов, определены принципы формирования и распределения межбюджетных трансфертов, предоставляемых из республиканского бюджета.</w:t>
      </w:r>
    </w:p>
    <w:p>
      <w:pPr>
        <w:spacing w:after="60"/>
        <w:ind w:firstLine="567"/>
        <w:jc w:val="both"/>
      </w:pPr>
      <w:r>
        <w:rPr>
          <w:rFonts w:ascii="Arial" w:cs="Arial" w:eastAsia="Arial" w:hAnsi="Arial"/>
          <w:sz w:val="24"/>
          <w:szCs w:val="24"/>
        </w:rPr>
        <w:t xml:space="preserve">Вместе с тем по мере развития финансовых взаимоотношений в Кыргызской Республике между органами власти всех уровней реализация сформированного бюджетного законодательства Кыргызской Республики требует осуществления комплекса мероприятий как в области совершенствования межбюджетных отношений, так и в области повышения эффективности управления государственными финансами. В связи с этим в среднесрочной перспективе необходимо обеспечить методологическую и финансовую поддержку новой системы разграничения полномочий.</w:t>
      </w:r>
    </w:p>
    <w:p>
      <w:pPr>
        <w:spacing w:after="60"/>
        <w:ind w:firstLine="567"/>
        <w:jc w:val="both"/>
      </w:pPr>
      <w:r>
        <w:rPr>
          <w:rFonts w:ascii="Arial" w:cs="Arial" w:eastAsia="Arial" w:hAnsi="Arial"/>
          <w:sz w:val="24"/>
          <w:szCs w:val="24"/>
        </w:rPr>
        <w:t xml:space="preserve">В данном направлении работа будет осуществляться в соответствии с </w:t>
      </w:r>
      <w:hyperlink w:history="1" r:id="rId-kc3k9jugtcvtfmqfpaom">
        <w:r>
          <w:rPr>
            <w:rFonts w:ascii="Arial" w:cs="Arial" w:eastAsia="Arial" w:hAnsi="Arial"/>
            <w:color w:val="1D4ED8"/>
            <w:sz w:val="24"/>
            <w:szCs w:val="24"/>
            <w:u w:val="single"/>
          </w:rPr>
          <w:t xml:space="preserve">Концепцией</w:t>
        </w:r>
      </w:hyperlink>
      <w:r>
        <w:rPr>
          <w:rFonts w:ascii="Arial" w:cs="Arial" w:eastAsia="Arial" w:hAnsi="Arial"/>
          <w:sz w:val="24"/>
          <w:szCs w:val="24"/>
        </w:rPr>
        <w:t xml:space="preserve"> развития межбюджетных отношений в Кыргызской Республике на период 2016-2019 годы (далее - Концепция), разработанной в соответствии с национальными государственными стратегическими документами, утвержденной </w:t>
      </w:r>
      <w:hyperlink w:history="1" r:id="rIdy6oz4dsmecson1kaubgs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марта 2016 года № 116.</w:t>
      </w:r>
    </w:p>
    <w:p>
      <w:pPr>
        <w:spacing w:after="60"/>
        <w:ind w:firstLine="567"/>
        <w:jc w:val="both"/>
      </w:pPr>
      <w:r>
        <w:rPr>
          <w:rFonts w:ascii="Arial" w:cs="Arial" w:eastAsia="Arial" w:hAnsi="Arial"/>
          <w:sz w:val="24"/>
          <w:szCs w:val="24"/>
        </w:rPr>
        <w:t xml:space="preserve">Система межбюджетных отношений должна способствовать укреплению финансово-экономических основ местного самоуправления несмотря на резкую дифференциацию местных самоуправлений по уровню бюджетной обеспеченности.</w:t>
      </w:r>
    </w:p>
    <w:p>
      <w:pPr>
        <w:spacing w:after="60"/>
        <w:ind w:firstLine="567"/>
        <w:jc w:val="both"/>
      </w:pPr>
      <w:r>
        <w:rPr>
          <w:rFonts w:ascii="Arial" w:cs="Arial" w:eastAsia="Arial" w:hAnsi="Arial"/>
          <w:sz w:val="24"/>
          <w:szCs w:val="24"/>
        </w:rPr>
        <w:t xml:space="preserve">Принимаемые меры по укреплению доходного потенциала органов местного самоуправления не всегда способствуют ее увеличению в связи с тем, что все еще имеются различия в развитии, обусловленные природно-климатическими условиями, аграрной направленностью экономики, недостаточным уровнем развития сферы услуг, использованием не в полной мере промышленного потенциала, различием в размещении производственной инфраструктуры, доступе к ресурсам, особенно финансовым, коммуникационным и информационным услугам.</w:t>
      </w:r>
    </w:p>
    <w:p>
      <w:pPr>
        <w:spacing w:after="60"/>
        <w:ind w:firstLine="567"/>
        <w:jc w:val="both"/>
      </w:pPr>
      <w:r>
        <w:rPr>
          <w:rFonts w:ascii="Arial" w:cs="Arial" w:eastAsia="Arial" w:hAnsi="Arial"/>
          <w:sz w:val="24"/>
          <w:szCs w:val="24"/>
        </w:rPr>
        <w:t xml:space="preserve">Дальнейшее развитие межбюджетных отношений является одним из приоритетных направлений в системе реформ государственных финансов на среднесрочный период, в части регулирования бюджетных правоотношений между государственными органами, органами местного самоуправления, а также организации и осуществления бюджетного процесса.</w:t>
      </w:r>
    </w:p>
    <w:p>
      <w:pPr>
        <w:spacing w:after="60"/>
        <w:ind w:firstLine="567"/>
        <w:jc w:val="both"/>
      </w:pPr>
      <w:r>
        <w:rPr>
          <w:rFonts w:ascii="Arial" w:cs="Arial" w:eastAsia="Arial" w:hAnsi="Arial"/>
          <w:sz w:val="24"/>
          <w:szCs w:val="24"/>
        </w:rPr>
        <w:t xml:space="preserve">Административно-территориальная реформа является одной из наиболее существенных проблем, стоящих перед государством в среднесрочной перспективе, что также повлияет на развитие системы межбюджетных отношений.</w:t>
      </w:r>
    </w:p>
    <w:p>
      <w:pPr>
        <w:spacing w:after="60"/>
        <w:ind w:firstLine="567"/>
        <w:jc w:val="both"/>
      </w:pPr>
      <w:r>
        <w:rPr>
          <w:rFonts w:ascii="Arial" w:cs="Arial" w:eastAsia="Arial" w:hAnsi="Arial"/>
          <w:sz w:val="24"/>
          <w:szCs w:val="24"/>
        </w:rPr>
        <w:t xml:space="preserve">В связи с этим появляется необходимость разработки экономических основ при реализации административно-территориальной реформы, с использованием таких факторов, как фактическое использование ресурсного потенциала той или иной территории, наличие финансовых и образовательных институтов, доступность государственных и иных услуг для граждан, наличие промышленной, производственной, социальной и торговой инфраструктуры в регионе, плотность населения и т.п.</w:t>
      </w:r>
    </w:p>
    <w:p>
      <w:pPr>
        <w:spacing w:after="60"/>
        <w:ind w:firstLine="567"/>
        <w:jc w:val="both"/>
      </w:pPr>
      <w:r>
        <w:rPr>
          <w:rFonts w:ascii="Arial" w:cs="Arial" w:eastAsia="Arial" w:hAnsi="Arial"/>
          <w:sz w:val="24"/>
          <w:szCs w:val="24"/>
        </w:rPr>
        <w:t xml:space="preserve">Основными направлениями в развитии межбюджетных отношений на среднесрочный период для Министерства финансов Кыргызской Республики являются:</w:t>
      </w:r>
    </w:p>
    <w:p>
      <w:pPr>
        <w:spacing w:after="60"/>
        <w:ind w:firstLine="567"/>
        <w:jc w:val="both"/>
      </w:pPr>
      <w:r>
        <w:rPr>
          <w:rFonts w:ascii="Arial" w:cs="Arial" w:eastAsia="Arial" w:hAnsi="Arial"/>
          <w:sz w:val="24"/>
          <w:szCs w:val="24"/>
        </w:rPr>
        <w:t xml:space="preserve">- реализация Концепции развития межбюджетных отношений в Кыргызской Республике;</w:t>
      </w:r>
    </w:p>
    <w:p>
      <w:pPr>
        <w:spacing w:after="60"/>
        <w:ind w:firstLine="567"/>
        <w:jc w:val="both"/>
      </w:pPr>
      <w:r>
        <w:rPr>
          <w:rFonts w:ascii="Arial" w:cs="Arial" w:eastAsia="Arial" w:hAnsi="Arial"/>
          <w:sz w:val="24"/>
          <w:szCs w:val="24"/>
        </w:rPr>
        <w:t xml:space="preserve">- параллельная работа по мере продвижения реформы административно-территориального устройства;</w:t>
      </w:r>
    </w:p>
    <w:p>
      <w:pPr>
        <w:spacing w:after="60"/>
        <w:ind w:firstLine="567"/>
        <w:jc w:val="both"/>
      </w:pPr>
      <w:r>
        <w:rPr>
          <w:rFonts w:ascii="Arial" w:cs="Arial" w:eastAsia="Arial" w:hAnsi="Arial"/>
          <w:sz w:val="24"/>
          <w:szCs w:val="24"/>
        </w:rPr>
        <w:t xml:space="preserve">- разработка, внесение изменений и дополнений в нормативно правовые акты, методические пособия, инструкции и так далее касающихся межбюджетных отношений;</w:t>
      </w:r>
    </w:p>
    <w:p>
      <w:pPr>
        <w:spacing w:after="60"/>
        <w:ind w:firstLine="567"/>
        <w:jc w:val="both"/>
      </w:pPr>
      <w:r>
        <w:rPr>
          <w:rFonts w:ascii="Arial" w:cs="Arial" w:eastAsia="Arial" w:hAnsi="Arial"/>
          <w:sz w:val="24"/>
          <w:szCs w:val="24"/>
        </w:rPr>
        <w:t xml:space="preserve">- совершенствование системы межбюджетных трансфертов;</w:t>
      </w:r>
    </w:p>
    <w:p>
      <w:pPr>
        <w:spacing w:after="60"/>
        <w:ind w:firstLine="567"/>
        <w:jc w:val="both"/>
      </w:pPr>
      <w:r>
        <w:rPr>
          <w:rFonts w:ascii="Arial" w:cs="Arial" w:eastAsia="Arial" w:hAnsi="Arial"/>
          <w:sz w:val="24"/>
          <w:szCs w:val="24"/>
        </w:rPr>
        <w:t xml:space="preserve">- совершенствование мер и подходов к расширению налоговой базы органов местного самоуправления;</w:t>
      </w:r>
    </w:p>
    <w:p>
      <w:pPr>
        <w:spacing w:after="60"/>
        <w:ind w:firstLine="567"/>
        <w:jc w:val="both"/>
      </w:pPr>
      <w:r>
        <w:rPr>
          <w:rFonts w:ascii="Arial" w:cs="Arial" w:eastAsia="Arial" w:hAnsi="Arial"/>
          <w:sz w:val="24"/>
          <w:szCs w:val="24"/>
        </w:rPr>
        <w:t xml:space="preserve">- обеспечение прозрачности местных бюджетов;</w:t>
      </w:r>
    </w:p>
    <w:p>
      <w:pPr>
        <w:spacing w:after="60"/>
        <w:ind w:firstLine="567"/>
        <w:jc w:val="both"/>
      </w:pPr>
      <w:r>
        <w:rPr>
          <w:rFonts w:ascii="Arial" w:cs="Arial" w:eastAsia="Arial" w:hAnsi="Arial"/>
          <w:sz w:val="24"/>
          <w:szCs w:val="24"/>
        </w:rPr>
        <w:t xml:space="preserve">- совершенствование среднесрочного прогнозирования местных бюджетов с учетом экономического плана развития территорий;</w:t>
      </w:r>
    </w:p>
    <w:p>
      <w:pPr>
        <w:spacing w:after="60"/>
        <w:ind w:firstLine="567"/>
        <w:jc w:val="both"/>
      </w:pPr>
      <w:r>
        <w:rPr>
          <w:rFonts w:ascii="Arial" w:cs="Arial" w:eastAsia="Arial" w:hAnsi="Arial"/>
          <w:sz w:val="24"/>
          <w:szCs w:val="24"/>
        </w:rPr>
        <w:t xml:space="preserve">- повышение уровня квалификации финансовых работников органов местного самоуправления.</w:t>
      </w:r>
    </w:p>
    <w:p>
      <w:pPr>
        <w:spacing w:after="60"/>
        <w:ind w:firstLine="567"/>
        <w:jc w:val="both"/>
      </w:pPr>
      <w:r>
        <w:rPr>
          <w:rFonts w:ascii="Arial" w:cs="Arial" w:eastAsia="Arial" w:hAnsi="Arial"/>
          <w:sz w:val="24"/>
          <w:szCs w:val="24"/>
        </w:rPr>
        <w:t xml:space="preserve">Общий объем местных бюджетов на 2017 год составляет 19391,6 млн. сомов по сравнению с утвержденным бюджетом 2016 года увеличился на 463,7 млн. сомов.</w:t>
      </w:r>
    </w:p>
    <w:p>
      <w:pPr>
        <w:spacing w:after="60"/>
        <w:ind w:firstLine="567"/>
        <w:jc w:val="both"/>
      </w:pPr>
      <w:r>
        <w:rPr>
          <w:rFonts w:ascii="Arial" w:cs="Arial" w:eastAsia="Arial" w:hAnsi="Arial"/>
          <w:sz w:val="24"/>
          <w:szCs w:val="24"/>
        </w:rPr>
        <w:t xml:space="preserve">В связи с отменой налога с продаж с 1 января 2016 года ожидается, что выпадение с госбюджета составит около 3,0 млрд. сомов, соответственно, по местным бюджетам выпадение составит 1,5 млрд. сомов. Основные механизмы, за счет которых будет возмещена эта сумма, это улучшение администрирования, сокращение количества льгот, которые мы предоставляем по налогам и компенсации за счет республиканского бюджета.</w:t>
      </w:r>
    </w:p>
    <w:p>
      <w:pPr>
        <w:spacing w:after="60"/>
        <w:ind w:firstLine="567"/>
        <w:jc w:val="both"/>
      </w:pPr>
      <w:r>
        <w:rPr>
          <w:rFonts w:ascii="Arial" w:cs="Arial" w:eastAsia="Arial" w:hAnsi="Arial"/>
          <w:sz w:val="24"/>
          <w:szCs w:val="24"/>
        </w:rPr>
        <w:t xml:space="preserve">В среднесрочной перспективе объемы местных бюджетов составят в 2018 году 19620,3 млн. сомов, в 2019 году - 19743,6 млн. сомов, в 2020 году - 19931,7 млн. сомов.</w:t>
      </w:r>
    </w:p>
    <w:p>
      <w:pPr>
        <w:spacing w:after="240" w:before="240"/>
        <w:ind w:firstLine="567"/>
        <w:jc w:val="right"/>
      </w:pPr>
      <w:r>
        <w:rPr>
          <w:rFonts w:ascii="Arial" w:cs="Arial" w:eastAsia="Arial" w:hAnsi="Arial"/>
          <w:sz w:val="24"/>
          <w:szCs w:val="24"/>
        </w:rPr>
        <w:t xml:space="preserve">Таблица 23</w:t>
      </w:r>
    </w:p>
    <w:p>
      <w:pPr>
        <w:spacing w:after="240" w:before="200"/>
        <w:jc w:val="center"/>
      </w:pPr>
      <w:r>
        <w:rPr>
          <w:rFonts w:ascii="Arial" w:cs="Arial" w:eastAsia="Arial" w:hAnsi="Arial"/>
          <w:b/>
          <w:bCs/>
          <w:sz w:val="32"/>
          <w:szCs w:val="32"/>
        </w:rPr>
        <w:t xml:space="preserve">Объемы местных бюджетов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9"/>
        <w:gridCol w:w="1150"/>
        <w:gridCol w:w="584"/>
        <w:gridCol w:w="1109"/>
        <w:gridCol w:w="584"/>
        <w:gridCol w:w="1150"/>
        <w:gridCol w:w="584"/>
        <w:gridCol w:w="1150"/>
        <w:gridCol w:w="584"/>
        <w:gridCol w:w="1150"/>
        <w:gridCol w:w="584"/>
      </w:tblGrid>
      <w:tr>
        <w:tc>
          <w:tcPr>
            <w:tcW w:type="dxa" w:w="15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ВВП</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397377</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442808</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Уточ. бюдж. на 2016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Утв. бюдж. на 2017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 бюдж. на 2018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 бюдж. на 2019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Прог. бюдж. на 2020 г.</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ВВП</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18780,4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19391,6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19620,3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19743,6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19931,7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13017,0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12095,7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12890,3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13713,6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14601,7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2522,9</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2365,2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и обязательства</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19,8</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Трансферты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3177,3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5268,2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Выравнивающие гранты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1609,3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1818,2</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передаваемые</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1568,0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0,3</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3450,0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1245,0</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r>
      <w:tr>
        <w:tc>
          <w:tcPr>
            <w:tcW w:type="dxa" w:w="15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Расходы</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18780,4</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19391,6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19620,3</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19743,6</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19931,7</w:t>
            </w:r>
          </w:p>
        </w:tc>
        <w:tc>
          <w:tcPr>
            <w:tcW w:type="dxa" w:w="5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r>
    </w:tbl>
    <w:p>
      <w:pPr>
        <w:spacing w:after="60" w:before="120"/>
        <w:ind w:firstLine="567"/>
        <w:jc w:val="both"/>
      </w:pPr>
      <w:r>
        <w:rPr>
          <w:rFonts w:ascii="Arial" w:cs="Arial" w:eastAsia="Arial" w:hAnsi="Arial"/>
          <w:sz w:val="24"/>
          <w:szCs w:val="24"/>
        </w:rPr>
        <w:t xml:space="preserve">При формировании и исполнении местных бюджетов основными приоритетными статьями расходов для них остаются защищенные статьи, в том числе </w:t>
      </w:r>
      <w:r>
        <w:rPr>
          <w:rFonts w:ascii="Arial" w:cs="Arial" w:eastAsia="Arial" w:hAnsi="Arial"/>
          <w:sz w:val="24"/>
          <w:szCs w:val="24"/>
        </w:rPr>
        <w:t xml:space="preserve">коммунальные услуги и приобретения угля.</w:t>
      </w:r>
    </w:p>
    <w:p>
      <w:pPr>
        <w:spacing w:after="60"/>
        <w:ind w:firstLine="567"/>
        <w:jc w:val="both"/>
      </w:pPr>
      <w:r>
        <w:rPr>
          <w:rFonts w:ascii="Arial" w:cs="Arial" w:eastAsia="Arial" w:hAnsi="Arial"/>
          <w:sz w:val="24"/>
          <w:szCs w:val="24"/>
        </w:rPr>
        <w:t xml:space="preserve">Несмотря на перевод финансирования системы образования местных бюджетов на республиканский бюджет в ведение Министерства образования и науки Кыргызской Республики, за местными бюджетами законодательно сохраняется финансирование расходов по содержанию объектов муниципальной собственности системы образования.</w:t>
      </w:r>
    </w:p>
    <w:p>
      <w:pPr>
        <w:spacing w:after="60"/>
        <w:ind w:firstLine="567"/>
        <w:jc w:val="both"/>
      </w:pPr>
      <w:r>
        <w:rPr>
          <w:rFonts w:ascii="Arial" w:cs="Arial" w:eastAsia="Arial" w:hAnsi="Arial"/>
          <w:sz w:val="24"/>
          <w:szCs w:val="24"/>
        </w:rPr>
        <w:t xml:space="preserve">Размер выравнивающего гранта на 2017 год утвержден в сумме 1818,2 млн. сомов, или по сравнению с утвержденным 2016 года увеличился на 208,9 млн. сомов.</w:t>
      </w:r>
    </w:p>
    <w:p>
      <w:pPr>
        <w:spacing w:after="60"/>
        <w:ind w:firstLine="567"/>
        <w:jc w:val="both"/>
      </w:pPr>
      <w:r>
        <w:rPr>
          <w:rFonts w:ascii="Arial" w:cs="Arial" w:eastAsia="Arial" w:hAnsi="Arial"/>
          <w:sz w:val="24"/>
          <w:szCs w:val="24"/>
        </w:rPr>
        <w:t xml:space="preserve">В 2018 году выравнивающие гранты прогнозируются в сумме 1850,0 млн. сомов, в 2019 году - 1800,0 млн. сомов, к 2020 году - 1700,0 млн. сомов.</w:t>
      </w:r>
    </w:p>
    <w:p>
      <w:pPr>
        <w:spacing w:after="60"/>
        <w:ind w:firstLine="567"/>
        <w:jc w:val="both"/>
      </w:pPr>
      <w:r>
        <w:rPr>
          <w:rFonts w:ascii="Arial" w:cs="Arial" w:eastAsia="Arial" w:hAnsi="Arial"/>
          <w:sz w:val="24"/>
          <w:szCs w:val="24"/>
        </w:rPr>
        <w:t xml:space="preserve">Наличие выравнивающего гранта в составе доходов местных бюджетов не должно быть признаком "бедности" муниципалитета. Основой для выравнивания бюджетной недостаточности должен стать расчет доходного потенциала местных бюджетов, базирующийся на показателях развития местной экономики. Такой подход мотивирует органы местного самоуправления к повышению сбора доходов и потребует от них оптимизации расходов.</w:t>
      </w:r>
    </w:p>
    <w:p>
      <w:pPr>
        <w:spacing w:after="60"/>
        <w:ind w:firstLine="567"/>
        <w:jc w:val="both"/>
      </w:pPr>
      <w:r>
        <w:rPr>
          <w:rFonts w:ascii="Arial" w:cs="Arial" w:eastAsia="Arial" w:hAnsi="Arial"/>
          <w:sz w:val="24"/>
          <w:szCs w:val="24"/>
        </w:rPr>
        <w:t xml:space="preserve">Будут внесены изменения и дополнения в действующее бюджетное законодательство, в части изменения порядка предоставления средств, передаваемых из вышестоящего на нижестоящий уровень, в случае принятия нормативных правовых актов Кыргызской Республики, влияющих на увеличение объемов расходных обязательств органов местного самоуправления.</w:t>
      </w:r>
    </w:p>
    <w:p>
      <w:pPr>
        <w:spacing w:after="200" w:before="200"/>
        <w:jc w:val="center"/>
      </w:pPr>
      <w:r>
        <w:rPr>
          <w:rFonts w:ascii="Arial" w:cs="Arial" w:eastAsia="Arial" w:hAnsi="Arial"/>
          <w:b/>
          <w:bCs/>
          <w:sz w:val="24"/>
          <w:szCs w:val="24"/>
        </w:rPr>
        <w:t xml:space="preserve">6. Бюджет развития</w:t>
      </w:r>
    </w:p>
    <w:p>
      <w:pPr>
        <w:spacing w:after="200" w:before="200"/>
        <w:jc w:val="center"/>
      </w:pPr>
      <w:r>
        <w:rPr>
          <w:rFonts w:ascii="Arial" w:cs="Arial" w:eastAsia="Arial" w:hAnsi="Arial"/>
          <w:b/>
          <w:bCs/>
          <w:sz w:val="24"/>
          <w:szCs w:val="24"/>
        </w:rPr>
        <w:t xml:space="preserve">6.1. Капитальные вложения</w:t>
      </w:r>
    </w:p>
    <w:p>
      <w:pPr>
        <w:spacing w:after="60"/>
        <w:ind w:firstLine="567"/>
        <w:jc w:val="both"/>
      </w:pPr>
      <w:r>
        <w:rPr>
          <w:rFonts w:ascii="Arial" w:cs="Arial" w:eastAsia="Arial" w:hAnsi="Arial"/>
          <w:sz w:val="24"/>
          <w:szCs w:val="24"/>
        </w:rPr>
        <w:t xml:space="preserve">Капитальные вложения - статья в бюджете развития, представляющая собой сметное финансирование проектов, утверждаемых Правительством Кыргызской Республики, используется для развития государственных приоритетных социально-экономических значимых объектов и отдельных вопросов, имеющих важное социальное значение.</w:t>
      </w:r>
    </w:p>
    <w:p>
      <w:pPr>
        <w:spacing w:after="60"/>
        <w:ind w:firstLine="567"/>
        <w:jc w:val="both"/>
      </w:pPr>
      <w:r>
        <w:rPr>
          <w:rFonts w:ascii="Arial" w:cs="Arial" w:eastAsia="Arial" w:hAnsi="Arial"/>
          <w:sz w:val="24"/>
          <w:szCs w:val="24"/>
        </w:rPr>
        <w:t xml:space="preserve">Перечень строек и объектов производственного и непроизводственного назначения, финансирование которых осуществляется за счет капитальных вложений, предусмотренных в республиканском бюджете, формируется Министерством финансов Кыргызской Республики ежегодно для каждого государственного заказчика раздельно по административной, функциональной и экономической классификации расходов.</w:t>
      </w:r>
    </w:p>
    <w:p>
      <w:pPr>
        <w:spacing w:after="60"/>
        <w:ind w:firstLine="567"/>
        <w:jc w:val="both"/>
      </w:pPr>
      <w:r>
        <w:rPr>
          <w:rFonts w:ascii="Arial" w:cs="Arial" w:eastAsia="Arial" w:hAnsi="Arial"/>
          <w:sz w:val="24"/>
          <w:szCs w:val="24"/>
        </w:rPr>
        <w:t xml:space="preserve">За последние годы большая часть финансовых средств за счет капитальных вложений направлялась в первоочередном порядке на строительство и реконструкцию социальных объектов (объекты образования, здравоохранения), а также на восстановление аварийных социальных объектов. Рост объемов строительства и реконструкции пока не оказывает ощутимого влияния на экономику и социальную сферу и имеет невысокую эффективность в целом, так как данное связано с направлением большей части средств на социальные объекты. В 2014 году по сценарию финансирования по статье "капитальные вложения" было принято решение о финансировании объектов строительства строительной готовностью выше 60,0%, а также не начинать новое строительство в целях уменьшения объема незавершенного строительства и исключения долгостроев.</w:t>
      </w:r>
    </w:p>
    <w:p>
      <w:pPr>
        <w:spacing w:after="60"/>
        <w:ind w:firstLine="567"/>
        <w:jc w:val="both"/>
      </w:pPr>
      <w:r>
        <w:rPr>
          <w:rFonts w:ascii="Arial" w:cs="Arial" w:eastAsia="Arial" w:hAnsi="Arial"/>
          <w:sz w:val="24"/>
          <w:szCs w:val="24"/>
        </w:rPr>
        <w:t xml:space="preserve">В последующие годы государственные капитальные вложения будут направляться для обеспечения устойчивого экономического развития регионов и республики, совершенствовать оптимальное планирование и распределение капитальных вложений на наиболее приоритетные инвестиционные проекты с учетом концепции регионального развития и отраслевых экономических программ. Основными задачами по совершенствованию и развитию финансирования за счет государственных капитальных вложений будут:</w:t>
      </w:r>
    </w:p>
    <w:p>
      <w:pPr>
        <w:spacing w:after="60"/>
        <w:ind w:firstLine="567"/>
        <w:jc w:val="both"/>
      </w:pPr>
      <w:r>
        <w:rPr>
          <w:rFonts w:ascii="Arial" w:cs="Arial" w:eastAsia="Arial" w:hAnsi="Arial"/>
          <w:sz w:val="24"/>
          <w:szCs w:val="24"/>
        </w:rPr>
        <w:t xml:space="preserve">- формирование инвестиционных предложений на стадии разработки среднесрочных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осуществление разработки технико-экономического обоснования бюджетного инвестиционного проекта при условии включения его в перечень приоритетных бюджетных инвестиционных проектов на этапе формирования и отбора инвестиционных предложений;</w:t>
      </w:r>
    </w:p>
    <w:p>
      <w:pPr>
        <w:spacing w:after="60"/>
        <w:ind w:firstLine="567"/>
        <w:jc w:val="both"/>
      </w:pPr>
      <w:r>
        <w:rPr>
          <w:rFonts w:ascii="Arial" w:cs="Arial" w:eastAsia="Arial" w:hAnsi="Arial"/>
          <w:sz w:val="24"/>
          <w:szCs w:val="24"/>
        </w:rPr>
        <w:t xml:space="preserve">- осуществление формирования перечней приоритетных бюджетных инвестиционных проектов на основании действующих и разрабатываемых государственных, отраслевых (секторальных) и региональных программ;</w:t>
      </w:r>
    </w:p>
    <w:p>
      <w:pPr>
        <w:spacing w:after="60"/>
        <w:ind w:firstLine="567"/>
        <w:jc w:val="both"/>
      </w:pPr>
      <w:r>
        <w:rPr>
          <w:rFonts w:ascii="Arial" w:cs="Arial" w:eastAsia="Arial" w:hAnsi="Arial"/>
          <w:sz w:val="24"/>
          <w:szCs w:val="24"/>
        </w:rPr>
        <w:t xml:space="preserve">- разработка и внедрение эффективных критериев отбора инвестиционных проектов для совершенствования системы планирования направления бюджетных инвестиций;</w:t>
      </w:r>
    </w:p>
    <w:p>
      <w:pPr>
        <w:spacing w:after="60"/>
        <w:ind w:firstLine="567"/>
        <w:jc w:val="both"/>
      </w:pPr>
      <w:r>
        <w:rPr>
          <w:rFonts w:ascii="Arial" w:cs="Arial" w:eastAsia="Arial" w:hAnsi="Arial"/>
          <w:sz w:val="24"/>
          <w:szCs w:val="24"/>
        </w:rPr>
        <w:t xml:space="preserve">- разработка перечня приоритетных республиканских бюджетных инвестиционных проектов ежегодно на трехлетний период в составе среднесрочного плана социально-экономического развития, которые будут служить основой для разработки республиканского бюджета, в части определения перечня и объемов финансирования бюджетных программ развития.</w:t>
      </w:r>
    </w:p>
    <w:p>
      <w:pPr>
        <w:spacing w:after="60"/>
        <w:ind w:firstLine="567"/>
        <w:jc w:val="both"/>
      </w:pPr>
      <w:r>
        <w:rPr>
          <w:rFonts w:ascii="Arial" w:cs="Arial" w:eastAsia="Arial" w:hAnsi="Arial"/>
          <w:sz w:val="24"/>
          <w:szCs w:val="24"/>
        </w:rPr>
        <w:t xml:space="preserve">В 2014-2016 годах расходы на капитальные вложения в приоритетном порядке были направлены на строительство и реконструкцию объектов социально-экономического значения, в том числе в сфере образования, здравоохранения, культуры и спорта, объектов водоснабжения, а также на строительство и реконструкцию автодорог в республике.</w:t>
      </w:r>
    </w:p>
    <w:p>
      <w:pPr>
        <w:spacing w:after="60"/>
        <w:ind w:firstLine="567"/>
        <w:jc w:val="both"/>
      </w:pPr>
      <w:r>
        <w:rPr>
          <w:rFonts w:ascii="Arial" w:cs="Arial" w:eastAsia="Arial" w:hAnsi="Arial"/>
          <w:sz w:val="24"/>
          <w:szCs w:val="24"/>
        </w:rPr>
        <w:t xml:space="preserve">В 2016 году в приоритетном порядке расходы в рамках государственных капитальных вложений были направлены на:</w:t>
      </w:r>
    </w:p>
    <w:p>
      <w:pPr>
        <w:spacing w:after="60"/>
        <w:ind w:firstLine="567"/>
        <w:jc w:val="both"/>
      </w:pPr>
      <w:r>
        <w:rPr>
          <w:rFonts w:ascii="Arial" w:cs="Arial" w:eastAsia="Arial" w:hAnsi="Arial"/>
          <w:sz w:val="24"/>
          <w:szCs w:val="24"/>
        </w:rPr>
        <w:t xml:space="preserve">- сектор образование в общем объеме 3069,5 млн. сомов;</w:t>
      </w:r>
    </w:p>
    <w:p>
      <w:pPr>
        <w:spacing w:after="60"/>
        <w:ind w:firstLine="567"/>
        <w:jc w:val="both"/>
      </w:pPr>
      <w:r>
        <w:rPr>
          <w:rFonts w:ascii="Arial" w:cs="Arial" w:eastAsia="Arial" w:hAnsi="Arial"/>
          <w:sz w:val="24"/>
          <w:szCs w:val="24"/>
        </w:rPr>
        <w:t xml:space="preserve">- сектор здравоохранение в объеме 85,2 млн. сомов;</w:t>
      </w:r>
    </w:p>
    <w:p>
      <w:pPr>
        <w:spacing w:after="60"/>
        <w:ind w:firstLine="567"/>
        <w:jc w:val="both"/>
      </w:pPr>
      <w:r>
        <w:rPr>
          <w:rFonts w:ascii="Arial" w:cs="Arial" w:eastAsia="Arial" w:hAnsi="Arial"/>
          <w:sz w:val="24"/>
          <w:szCs w:val="24"/>
        </w:rPr>
        <w:t xml:space="preserve">- сектор культура и спорт в объеме 1824,4 млн. сомов;</w:t>
      </w:r>
    </w:p>
    <w:p>
      <w:pPr>
        <w:spacing w:after="60"/>
        <w:ind w:firstLine="567"/>
        <w:jc w:val="both"/>
      </w:pPr>
      <w:r>
        <w:rPr>
          <w:rFonts w:ascii="Arial" w:cs="Arial" w:eastAsia="Arial" w:hAnsi="Arial"/>
          <w:sz w:val="24"/>
          <w:szCs w:val="24"/>
        </w:rPr>
        <w:t xml:space="preserve">- сектор автодороги и мосты в объеме 2733,9 млн. сомов;</w:t>
      </w:r>
    </w:p>
    <w:p>
      <w:pPr>
        <w:spacing w:after="60"/>
        <w:ind w:firstLine="567"/>
        <w:jc w:val="both"/>
      </w:pPr>
      <w:r>
        <w:rPr>
          <w:rFonts w:ascii="Arial" w:cs="Arial" w:eastAsia="Arial" w:hAnsi="Arial"/>
          <w:sz w:val="24"/>
          <w:szCs w:val="24"/>
        </w:rPr>
        <w:t xml:space="preserve">- сектор ЖКХ (водоснабжение, инфраструктура, проектные и другие) в объеме 186,6 млн. сомов;</w:t>
      </w:r>
    </w:p>
    <w:p>
      <w:pPr>
        <w:spacing w:after="60"/>
        <w:ind w:firstLine="567"/>
        <w:jc w:val="both"/>
      </w:pPr>
      <w:r>
        <w:rPr>
          <w:rFonts w:ascii="Arial" w:cs="Arial" w:eastAsia="Arial" w:hAnsi="Arial"/>
          <w:sz w:val="24"/>
          <w:szCs w:val="24"/>
        </w:rPr>
        <w:t xml:space="preserve">- сектор ирригация в объеме 167,0 млн. сомов;</w:t>
      </w:r>
    </w:p>
    <w:p>
      <w:pPr>
        <w:spacing w:after="60"/>
        <w:ind w:firstLine="567"/>
        <w:jc w:val="both"/>
      </w:pPr>
      <w:r>
        <w:rPr>
          <w:rFonts w:ascii="Arial" w:cs="Arial" w:eastAsia="Arial" w:hAnsi="Arial"/>
          <w:sz w:val="24"/>
          <w:szCs w:val="24"/>
        </w:rPr>
        <w:t xml:space="preserve">- оборону и правопорядок в объеме 134,5 млн. сомов.</w:t>
      </w:r>
    </w:p>
    <w:p>
      <w:pPr>
        <w:spacing w:after="60"/>
        <w:ind w:firstLine="567"/>
        <w:jc w:val="both"/>
      </w:pPr>
      <w:r>
        <w:rPr>
          <w:rFonts w:ascii="Arial" w:cs="Arial" w:eastAsia="Arial" w:hAnsi="Arial"/>
          <w:sz w:val="24"/>
          <w:szCs w:val="24"/>
        </w:rPr>
        <w:t xml:space="preserve">В 2018-2020 годах при увеличении ресурсов для государственных капитальных вложений Министерство финансов Кыргызской Республики планирует профинансировать завершение строительства и ввести в эксплуатацию ранее начатые объекты образования, здравоохранения, культуры и спорта. Из-за необходимости приоритетного финансирования развития автомобильных дорог стратегического значения планируется выделять средства для строительства автодороги Каракол - Тюп - Кеген, автодороги Балыкчы - Тамчы - Чолпон-Ата - Корумду и автодорог, находящиеся в приграничных районах республики, в том числе автодорог в Баткенской области. В соответствии с государственной программой строительства водохозяйственных сооружений в первоочередном порядке будут профинансированы завершение строительства ирригационных каналов, которые позволят осваивать значительные площади новых орошаемых земель в Джалал-Абадской, Баткенской, Нарынской, Таласской и других областях Кыргызской Республики.</w:t>
      </w:r>
    </w:p>
    <w:p>
      <w:pPr>
        <w:spacing w:after="60"/>
        <w:ind w:firstLine="567"/>
        <w:jc w:val="both"/>
      </w:pPr>
      <w:r>
        <w:rPr>
          <w:rFonts w:ascii="Arial" w:cs="Arial" w:eastAsia="Arial" w:hAnsi="Arial"/>
          <w:sz w:val="24"/>
          <w:szCs w:val="24"/>
        </w:rPr>
        <w:t xml:space="preserve">На капитальные вложения в период 2018-2020 годов предусмотрено 3000,0 млн. сомов ежегодно.</w:t>
      </w:r>
    </w:p>
    <w:p>
      <w:pPr>
        <w:spacing w:after="200" w:before="200"/>
        <w:jc w:val="center"/>
      </w:pPr>
      <w:r>
        <w:rPr>
          <w:rFonts w:ascii="Arial" w:cs="Arial" w:eastAsia="Arial" w:hAnsi="Arial"/>
          <w:b/>
          <w:bCs/>
          <w:sz w:val="24"/>
          <w:szCs w:val="24"/>
        </w:rPr>
        <w:t xml:space="preserve">6.2. Стимулирующие (долевые) гранты</w:t>
      </w:r>
    </w:p>
    <w:p>
      <w:pPr>
        <w:spacing w:after="60"/>
        <w:ind w:firstLine="567"/>
        <w:jc w:val="both"/>
      </w:pPr>
      <w:r>
        <w:rPr>
          <w:rFonts w:ascii="Arial" w:cs="Arial" w:eastAsia="Arial" w:hAnsi="Arial"/>
          <w:sz w:val="24"/>
          <w:szCs w:val="24"/>
        </w:rPr>
        <w:t xml:space="preserve">Перечень проектов на получение долевых (стимулирующих) грантов составляется на основании решений комиссий по отбору проектов на уровне районов, городов областного значения и в соответствии с объемами квот.</w:t>
      </w:r>
    </w:p>
    <w:p>
      <w:pPr>
        <w:spacing w:after="60"/>
        <w:ind w:firstLine="567"/>
        <w:jc w:val="both"/>
      </w:pPr>
      <w:r>
        <w:rPr>
          <w:rFonts w:ascii="Arial" w:cs="Arial" w:eastAsia="Arial" w:hAnsi="Arial"/>
          <w:sz w:val="24"/>
          <w:szCs w:val="24"/>
        </w:rPr>
        <w:t xml:space="preserve">Согласно </w:t>
      </w:r>
      <w:hyperlink w:history="1" r:id="rId3ak2qaq7tqbi-ese9jhee">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"Об утверждении </w:t>
      </w:r>
      <w:hyperlink w:history="1" r:id="rIdmtsylwv_7mx5z6jarer8c">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отборе и финансировании проектов за счет долевых (стимулирующих) грантов и </w:t>
      </w:r>
      <w:hyperlink w:history="1" r:id="rIdueng8gu4yaxgfrtcfmp4o">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по подготовке и реализации проектов" от 21 апреля 2015 года № 230 долевые (стимулирующие) гранты направляются на реализацию приоритетных проектов по финансированию ремонта, реконструкции и благоустройства, строительства и реконструкции вспомогательных и дополнительных объектов учреждений образования, здравоохранения, культуры, спорта, жилищно-коммунального, сельского, водного хозяйства и других объектов и предоставляются в виде софинансирования для реализации проектов, в дополнение к мобилизованным ресурсам местных бюджетов, международных организаций и иных субъектов и финансирование проектов зависит от предоставленных отчетов исполнительных органов местного самоуправления (в соответствии с запрашиваемой суммой и требуемым объемом стимулирующий (долевой) грант предоставляется траншами, с учетом освоения средств (собственных, привлеченных, республиканского бюджета) в зависимости от типа проекта, после представления отчета).</w:t>
      </w:r>
    </w:p>
    <w:p>
      <w:pPr>
        <w:spacing w:after="60"/>
        <w:ind w:firstLine="567"/>
        <w:jc w:val="both"/>
      </w:pPr>
      <w:r>
        <w:rPr>
          <w:rFonts w:ascii="Arial" w:cs="Arial" w:eastAsia="Arial" w:hAnsi="Arial"/>
          <w:sz w:val="24"/>
          <w:szCs w:val="24"/>
        </w:rPr>
        <w:t xml:space="preserve">Проекты, поступающие на получение долевых (стимулирующих) грантов, являются краткосрочными (завершаются в текущем году) и направлены в основном на улучшение объектов инфраструктуры органов местного самоуправления.</w:t>
      </w:r>
    </w:p>
    <w:p>
      <w:pPr>
        <w:spacing w:after="60"/>
        <w:ind w:firstLine="567"/>
        <w:jc w:val="both"/>
      </w:pPr>
      <w:r>
        <w:rPr>
          <w:rFonts w:ascii="Arial" w:cs="Arial" w:eastAsia="Arial" w:hAnsi="Arial"/>
          <w:sz w:val="24"/>
          <w:szCs w:val="24"/>
        </w:rPr>
        <w:t xml:space="preserve">В 2014-2016 годы из республиканского бюджета за счет стимулирующих грантов осуществлено финансирование на общую сумму 1461,2 млн. сомов.</w:t>
      </w:r>
    </w:p>
    <w:p>
      <w:pPr>
        <w:spacing w:after="60"/>
        <w:ind w:firstLine="567"/>
        <w:jc w:val="both"/>
      </w:pPr>
      <w:r>
        <w:rPr>
          <w:rFonts w:ascii="Arial" w:cs="Arial" w:eastAsia="Arial" w:hAnsi="Arial"/>
          <w:sz w:val="24"/>
          <w:szCs w:val="24"/>
        </w:rPr>
        <w:t xml:space="preserve">Распределение долевых (стимулирующих) грантов по категориям и областям за 2014-2016 годы выглядит следующим образом:</w:t>
      </w:r>
    </w:p>
    <w:p>
      <w:pPr>
        <w:spacing w:after="240" w:before="240"/>
        <w:ind w:firstLine="567"/>
        <w:jc w:val="right"/>
      </w:pPr>
      <w:r>
        <w:rPr>
          <w:rFonts w:ascii="Arial" w:cs="Arial" w:eastAsia="Arial" w:hAnsi="Arial"/>
          <w:sz w:val="24"/>
          <w:szCs w:val="24"/>
        </w:rPr>
        <w:t xml:space="preserve">Таблица 24</w:t>
      </w:r>
    </w:p>
    <w:p>
      <w:pPr>
        <w:spacing w:after="240" w:before="200"/>
        <w:jc w:val="center"/>
      </w:pPr>
      <w:r>
        <w:rPr>
          <w:rFonts w:ascii="Arial" w:cs="Arial" w:eastAsia="Arial" w:hAnsi="Arial"/>
          <w:b/>
          <w:bCs/>
          <w:sz w:val="32"/>
          <w:szCs w:val="32"/>
        </w:rPr>
        <w:t xml:space="preserve">Распределение долевых (стимулирующих) грантов
 по областям за 2014-2016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1875"/>
        <w:gridCol w:w="1299"/>
        <w:gridCol w:w="1299"/>
        <w:gridCol w:w="1299"/>
        <w:gridCol w:w="1299"/>
        <w:gridCol w:w="1299"/>
        <w:gridCol w:w="1299"/>
      </w:tblGrid>
      <w:tr>
        <w:tc>
          <w:tcPr>
            <w:tcW w:type="dxa" w:w="5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8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регионов</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86,8</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81,7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68,8</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30,9</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240" w:before="240"/>
        <w:ind w:firstLine="567"/>
        <w:jc w:val="right"/>
      </w:pPr>
      <w:r>
        <w:rPr>
          <w:rFonts w:ascii="Arial" w:cs="Arial" w:eastAsia="Arial" w:hAnsi="Arial"/>
          <w:sz w:val="24"/>
          <w:szCs w:val="24"/>
        </w:rPr>
        <w:t xml:space="preserve">Таблица 25</w:t>
      </w:r>
    </w:p>
    <w:p>
      <w:pPr>
        <w:spacing w:after="240" w:before="200"/>
        <w:jc w:val="center"/>
      </w:pPr>
      <w:r>
        <w:rPr>
          <w:rFonts w:ascii="Arial" w:cs="Arial" w:eastAsia="Arial" w:hAnsi="Arial"/>
          <w:b/>
          <w:bCs/>
          <w:sz w:val="32"/>
          <w:szCs w:val="32"/>
        </w:rPr>
        <w:t xml:space="preserve">Распределение долевых (стимулирующих) грантов по категориям
 за 2014-2016 годы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9"/>
        <w:gridCol w:w="2399"/>
        <w:gridCol w:w="1211"/>
        <w:gridCol w:w="1211"/>
        <w:gridCol w:w="1212"/>
        <w:gridCol w:w="1212"/>
        <w:gridCol w:w="1212"/>
        <w:gridCol w:w="1212"/>
      </w:tblGrid>
      <w:tr>
        <w:tc>
          <w:tcPr>
            <w:tcW w:type="dxa" w:w="5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2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Категории</w:t>
            </w:r>
          </w:p>
        </w:tc>
        <w:tc>
          <w:tcPr>
            <w:tcW w:type="dxa" w:w="24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 г.</w:t>
            </w:r>
          </w:p>
        </w:tc>
        <w:tc>
          <w:tcPr>
            <w:tcW w:type="dxa" w:w="2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24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Кол-во объектов</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Выдел. средства</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Школы</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167</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Детские сады</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159,2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72,1</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культурного значения</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45,2</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спортивного назначения</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36,8</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здравоохранения</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34,4</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инженерно-коммуникационной инфраструктуры</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30,6</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Объекты административного значения и прочие</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21,7</w:t>
            </w:r>
          </w:p>
        </w:tc>
      </w:tr>
      <w:tr>
        <w:tc>
          <w:tcPr>
            <w:tcW w:type="dxa" w:w="5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395</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710,7</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219,0</w:t>
            </w:r>
          </w:p>
        </w:tc>
        <w:tc>
          <w:tcPr>
            <w:tcW w:type="dxa" w:w="12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354,5</w:t>
            </w:r>
          </w:p>
        </w:tc>
      </w:tr>
    </w:tbl>
    <w:p>
      <w:pPr>
        <w:spacing w:after="60" w:before="120"/>
        <w:ind w:firstLine="567"/>
        <w:jc w:val="both"/>
      </w:pPr>
      <w:r>
        <w:rPr>
          <w:rFonts w:ascii="Arial" w:cs="Arial" w:eastAsia="Arial" w:hAnsi="Arial"/>
          <w:sz w:val="24"/>
          <w:szCs w:val="24"/>
        </w:rPr>
        <w:t xml:space="preserve">На стимулирующие гранты прогнозируется направить в 2018 году 500,0 млн. сомов, в 2019 году - 600,0 млн. сомов, в 2020 году - 700,0 млн. сомов.</w:t>
      </w:r>
    </w:p>
    <w:p>
      <w:pPr>
        <w:spacing w:after="200" w:before="200"/>
        <w:jc w:val="center"/>
      </w:pPr>
      <w:r>
        <w:rPr>
          <w:rFonts w:ascii="Arial" w:cs="Arial" w:eastAsia="Arial" w:hAnsi="Arial"/>
          <w:b/>
          <w:bCs/>
          <w:sz w:val="24"/>
          <w:szCs w:val="24"/>
        </w:rPr>
        <w:t xml:space="preserve">6.3. Внешнее финансирование (кредиты и гранты)</w:t>
      </w:r>
    </w:p>
    <w:p>
      <w:pPr>
        <w:spacing w:after="60"/>
        <w:ind w:firstLine="567"/>
        <w:jc w:val="both"/>
      </w:pPr>
      <w:r>
        <w:rPr>
          <w:rFonts w:ascii="Arial" w:cs="Arial" w:eastAsia="Arial" w:hAnsi="Arial"/>
          <w:sz w:val="24"/>
          <w:szCs w:val="24"/>
        </w:rPr>
        <w:t xml:space="preserve">Среднесрочное планирование расходов на государственные инвестиции, в том числе потребностей во внешнем финансировании проектов, реализуемых в рамках государственных инвестиций, осуществляется ежегодно в рамках процесса планирования Бюджета развития, в ходе которого также оцениваются потребности в финансовых ресурсах на последующие два года. При этом во внимание принимаются отраслевые программы развития и ресурсные ограничения, как в части внешнего финансирования, так и софинансирования проектов из государственного бюджета.</w:t>
      </w:r>
    </w:p>
    <w:p>
      <w:pPr>
        <w:spacing w:after="60"/>
        <w:ind w:firstLine="567"/>
        <w:jc w:val="both"/>
      </w:pPr>
      <w:r>
        <w:rPr>
          <w:rFonts w:ascii="Arial" w:cs="Arial" w:eastAsia="Arial" w:hAnsi="Arial"/>
          <w:sz w:val="24"/>
          <w:szCs w:val="24"/>
        </w:rPr>
        <w:t xml:space="preserve">Краткий обзор реализации государственных инвестиций за 2015-2016 годы. В период 2015-2016 годов финансирование проектов ГИ осуществлялось в основном за счет внешних займов и грантов.</w:t>
      </w:r>
    </w:p>
    <w:p>
      <w:pPr>
        <w:spacing w:after="60"/>
        <w:ind w:firstLine="567"/>
        <w:jc w:val="both"/>
      </w:pPr>
      <w:r>
        <w:rPr>
          <w:rFonts w:ascii="Arial" w:cs="Arial" w:eastAsia="Arial" w:hAnsi="Arial"/>
          <w:sz w:val="24"/>
          <w:szCs w:val="24"/>
        </w:rPr>
        <w:t xml:space="preserve">Среднегодовое использование средств внешних займов и грантов для реализации проектов ГИ в 2015 и 2016 годах составило 21780,1 млн. сомов (для сравнения в 2014-2015 годах - 21940,7 млн. сомов).</w:t>
      </w:r>
    </w:p>
    <w:p>
      <w:pPr>
        <w:spacing w:after="60"/>
        <w:ind w:firstLine="567"/>
        <w:jc w:val="both"/>
      </w:pPr>
      <w:r>
        <w:rPr>
          <w:rFonts w:ascii="Arial" w:cs="Arial" w:eastAsia="Arial" w:hAnsi="Arial"/>
          <w:sz w:val="24"/>
          <w:szCs w:val="24"/>
        </w:rPr>
        <w:t xml:space="preserve">Основными источниками внешнего финансирования ГИ являются средства, предоставляемые Азиатским банком развития (АБР), Всемирным банком (ВБ), Исламским банком развития (ИБР), Европейским банком реконструкции и развития (ЕБРР), Правительством Германии, Китайской Народной Республикой. В этот период финансирование АБР составляло 12,2% от общей суммы внешнего финансирования, доля ВБ - 5,8%, ЕБРР - 1,9%, ИБР - 5,4%, Правительства Германии - 3,3%, КНР - 66,1%, и другие - 4,1%.</w:t>
      </w:r>
    </w:p>
    <w:p>
      <w:pPr>
        <w:spacing w:after="60"/>
        <w:ind w:firstLine="567"/>
        <w:jc w:val="both"/>
      </w:pPr>
      <w:r>
        <w:rPr>
          <w:rFonts w:ascii="Arial" w:cs="Arial" w:eastAsia="Arial" w:hAnsi="Arial"/>
          <w:sz w:val="24"/>
          <w:szCs w:val="24"/>
        </w:rPr>
        <w:t xml:space="preserve">Показатели бюджета государственных инвестиций на 2017 год. В 2017 году сумма бюджетного финансирования государственных инвестиций из всех источников составит 40395,6 млн. сомов. При этом доля внешнего финансирования за счет займов и грантов составит 39042,1 млн. сомов, или 97,0% от общей суммы финансирования, на софинансирование проектов будет использовано 1353,5 млн. сомов, или 3,0% от общей суммы финансирования.</w:t>
      </w:r>
    </w:p>
    <w:p>
      <w:pPr>
        <w:spacing w:after="60"/>
        <w:ind w:firstLine="567"/>
        <w:jc w:val="both"/>
      </w:pPr>
      <w:r>
        <w:rPr>
          <w:rFonts w:ascii="Arial" w:cs="Arial" w:eastAsia="Arial" w:hAnsi="Arial"/>
          <w:sz w:val="24"/>
          <w:szCs w:val="24"/>
        </w:rPr>
        <w:t xml:space="preserve">Наибольшие расходы в этот период традиционно приходятся на экономический сектор (энергетика, транспорт, сельское хозяйство, ирригация, сельское водоснабжение) и составят 36312,6 млн. сомов, или 93,0% от общих расходов. В социальный сектор будет направлено 2637,8 млн. сомов, из которых: Министерству образования и науки Кыргызской Республики ожидается выделить 1676,0 млн. сомов; Министерству здравоохранения Кыргызской Республики - 961,8 млн. сомов.</w:t>
      </w:r>
    </w:p>
    <w:p>
      <w:pPr>
        <w:spacing w:after="60"/>
        <w:ind w:firstLine="567"/>
        <w:jc w:val="both"/>
      </w:pPr>
      <w:r>
        <w:rPr>
          <w:rFonts w:ascii="Arial" w:cs="Arial" w:eastAsia="Arial" w:hAnsi="Arial"/>
          <w:sz w:val="24"/>
          <w:szCs w:val="24"/>
        </w:rPr>
        <w:t xml:space="preserve">Политика государственных инвестиций в 2018-2020 годах. В 2018-2020 годы важнейшими приоритетами ГИ останутся развитие транспортной системы, энергетической инфраструктуры, а также сельского хозяйства, ирригации, водоснабжение и социальной инфраструктуры.</w:t>
      </w:r>
    </w:p>
    <w:p>
      <w:pPr>
        <w:spacing w:after="60"/>
        <w:ind w:firstLine="567"/>
        <w:jc w:val="both"/>
      </w:pPr>
      <w:r>
        <w:rPr>
          <w:rFonts w:ascii="Arial" w:cs="Arial" w:eastAsia="Arial" w:hAnsi="Arial"/>
          <w:sz w:val="24"/>
          <w:szCs w:val="24"/>
        </w:rPr>
        <w:t xml:space="preserve">В период с 2018 по 2020 год общая сумма бюджетного финансирования государственных инвестиций из всех источников составит 126047,1 млн. сомов. При этом доля внешнего финансирования за счет займов и грантов составит 121217,0 млн. сомов (97,0% от общей суммы финансирования), на софинансирование проектов ГИ будет использовано 4830,1 млн. сомов (3,0%).</w:t>
      </w:r>
    </w:p>
    <w:p>
      <w:pPr>
        <w:spacing w:after="60"/>
        <w:ind w:firstLine="567"/>
        <w:jc w:val="both"/>
      </w:pPr>
      <w:r>
        <w:rPr>
          <w:rFonts w:ascii="Arial" w:cs="Arial" w:eastAsia="Arial" w:hAnsi="Arial"/>
          <w:sz w:val="24"/>
          <w:szCs w:val="24"/>
        </w:rPr>
        <w:t xml:space="preserve">В 2018-2020 годы доминирующую роль будет играть экономический блок, на который будет приходиться 91,5% всего финансирования (115251,0 млн. сомов). Экономический блок включает такие направления, как сельское хозяйство, транспорт, энергетику, водоснабжение и социальную инфраструктуру, куда направляются значительные объемы государственных инвестиций.</w:t>
      </w:r>
    </w:p>
    <w:p>
      <w:pPr>
        <w:spacing w:after="60"/>
        <w:ind w:firstLine="567"/>
        <w:jc w:val="both"/>
      </w:pPr>
      <w:r>
        <w:rPr>
          <w:rFonts w:ascii="Arial" w:cs="Arial" w:eastAsia="Arial" w:hAnsi="Arial"/>
          <w:sz w:val="24"/>
          <w:szCs w:val="24"/>
        </w:rPr>
        <w:t xml:space="preserve">На социальный сектор будет направлено 9860,0 млн. сомов, или 7,8% от общего объема финансирования.</w:t>
      </w:r>
    </w:p>
    <w:p>
      <w:pPr>
        <w:spacing w:after="60"/>
        <w:ind w:firstLine="567"/>
        <w:jc w:val="both"/>
      </w:pPr>
      <w:r>
        <w:rPr>
          <w:rFonts w:ascii="Arial" w:cs="Arial" w:eastAsia="Arial" w:hAnsi="Arial"/>
          <w:sz w:val="24"/>
          <w:szCs w:val="24"/>
        </w:rPr>
        <w:t xml:space="preserve">Главными целями финансирования сектора здравоохранения являются обеспечение населению страны устойчивого доступа к услугам системы здравоохранения, снижение финансовой нагрузки в случае заболевания, повышение эффективности и уровня качества системы здравоохранения, а также стремление сделать ее более ориентированной на пациентов и более прозрачной. Общая сумма составляет 5435,8 млн. сомов.</w:t>
      </w:r>
    </w:p>
    <w:p>
      <w:pPr>
        <w:spacing w:after="60"/>
        <w:ind w:firstLine="567"/>
        <w:jc w:val="both"/>
      </w:pPr>
      <w:r>
        <w:rPr>
          <w:rFonts w:ascii="Arial" w:cs="Arial" w:eastAsia="Arial" w:hAnsi="Arial"/>
          <w:sz w:val="24"/>
          <w:szCs w:val="24"/>
        </w:rPr>
        <w:t xml:space="preserve">В секторе здравоохранения реализуются следующие инвестиционные проекты:</w:t>
      </w:r>
    </w:p>
    <w:p>
      <w:pPr>
        <w:spacing w:after="60"/>
        <w:ind w:firstLine="567"/>
        <w:jc w:val="both"/>
      </w:pPr>
      <w:r>
        <w:rPr>
          <w:rFonts w:ascii="Arial" w:cs="Arial" w:eastAsia="Arial" w:hAnsi="Arial"/>
          <w:sz w:val="24"/>
          <w:szCs w:val="24"/>
        </w:rPr>
        <w:t xml:space="preserve">- "Туберкулез-V";</w:t>
      </w:r>
    </w:p>
    <w:p>
      <w:pPr>
        <w:spacing w:after="60"/>
        <w:ind w:firstLine="567"/>
        <w:jc w:val="both"/>
      </w:pPr>
      <w:r>
        <w:rPr>
          <w:rFonts w:ascii="Arial" w:cs="Arial" w:eastAsia="Arial" w:hAnsi="Arial"/>
          <w:sz w:val="24"/>
          <w:szCs w:val="24"/>
        </w:rPr>
        <w:t xml:space="preserve">- "Создание национальной системы экстренной медицины II";</w:t>
      </w:r>
    </w:p>
    <w:p>
      <w:pPr>
        <w:spacing w:after="60"/>
        <w:ind w:firstLine="567"/>
        <w:jc w:val="both"/>
      </w:pPr>
      <w:r>
        <w:rPr>
          <w:rFonts w:ascii="Arial" w:cs="Arial" w:eastAsia="Arial" w:hAnsi="Arial"/>
          <w:sz w:val="24"/>
          <w:szCs w:val="24"/>
        </w:rPr>
        <w:t xml:space="preserve">- "Здравоохранение и социальная защита III-IV";</w:t>
      </w:r>
    </w:p>
    <w:p>
      <w:pPr>
        <w:spacing w:after="60"/>
        <w:ind w:firstLine="567"/>
        <w:jc w:val="both"/>
      </w:pPr>
      <w:r>
        <w:rPr>
          <w:rFonts w:ascii="Arial" w:cs="Arial" w:eastAsia="Arial" w:hAnsi="Arial"/>
          <w:sz w:val="24"/>
          <w:szCs w:val="24"/>
        </w:rPr>
        <w:t xml:space="preserve">- "Охрана материнства и детства IV-V".</w:t>
      </w:r>
    </w:p>
    <w:p>
      <w:pPr>
        <w:spacing w:after="60"/>
        <w:ind w:firstLine="567"/>
        <w:jc w:val="both"/>
      </w:pPr>
      <w:r>
        <w:rPr>
          <w:rFonts w:ascii="Arial" w:cs="Arial" w:eastAsia="Arial" w:hAnsi="Arial"/>
          <w:sz w:val="24"/>
          <w:szCs w:val="24"/>
        </w:rPr>
        <w:t xml:space="preserve">Также планируется реализация новых проектов "Строительство нового корпуса для Городской детской клинической больницы скорой медицинской помощи города Бишкек" и "Строительство и оснащение нейрохирургического центра Национального госпиталя".</w:t>
      </w:r>
    </w:p>
    <w:p>
      <w:pPr>
        <w:spacing w:after="60"/>
        <w:ind w:firstLine="567"/>
        <w:jc w:val="both"/>
      </w:pPr>
      <w:r>
        <w:rPr>
          <w:rFonts w:ascii="Arial" w:cs="Arial" w:eastAsia="Arial" w:hAnsi="Arial"/>
          <w:sz w:val="24"/>
          <w:szCs w:val="24"/>
        </w:rPr>
        <w:t xml:space="preserve">В секторе образования предполагается финансирование инвестиционных проектов на сумму 4424,2 млн. сомов. Проекты направлены на предоставление качественного дошкольного образования для бедных и уязвимых слоев населения.</w:t>
      </w:r>
    </w:p>
    <w:p>
      <w:pPr>
        <w:spacing w:after="60"/>
        <w:ind w:firstLine="567"/>
        <w:jc w:val="both"/>
      </w:pPr>
      <w:r>
        <w:rPr>
          <w:rFonts w:ascii="Arial" w:cs="Arial" w:eastAsia="Arial" w:hAnsi="Arial"/>
          <w:sz w:val="24"/>
          <w:szCs w:val="24"/>
        </w:rPr>
        <w:t xml:space="preserve">Второй проект Азиатского банка развития "Профессиональное образование и развитие навыков" направлен на инклюзивный рост посредством улучшенных возможностей доходоприносящей деятельности для выпускников системы профессионально-технического образования и обучения. Также планируется реализация Третьего проекта Азиатского банка развития "Профессиональное образование и развитие навыков" и проекта "Строительство государственных школ". Целью данного Проекта является строительство объекта образования, обеспечение учащихся и учителей новым комфортным зданием школы, отвечающим санитарно-гигиеническим нормам и позволяющим проводить учебный процесс и предоставить детям возможность получать образование в комфортных условиях, то есть, чтобы здание школы могло соответствовать общепринятым нормам по оснащению и комплектации, по безопасности.</w:t>
      </w:r>
    </w:p>
    <w:p>
      <w:pPr>
        <w:spacing w:after="60"/>
        <w:ind w:firstLine="567"/>
        <w:jc w:val="both"/>
      </w:pPr>
      <w:r>
        <w:rPr>
          <w:rFonts w:ascii="Arial" w:cs="Arial" w:eastAsia="Arial" w:hAnsi="Arial"/>
          <w:sz w:val="24"/>
          <w:szCs w:val="24"/>
        </w:rPr>
        <w:t xml:space="preserve">В сельском хозяйстве предусматривается финансирование на сумму 8240,0 млн. сомов следующих инвестиционных проектов:</w:t>
      </w:r>
    </w:p>
    <w:p>
      <w:pPr>
        <w:spacing w:after="60"/>
        <w:ind w:firstLine="567"/>
        <w:jc w:val="both"/>
      </w:pPr>
      <w:r>
        <w:rPr>
          <w:rFonts w:ascii="Arial" w:cs="Arial" w:eastAsia="Arial" w:hAnsi="Arial"/>
          <w:sz w:val="24"/>
          <w:szCs w:val="24"/>
        </w:rPr>
        <w:t xml:space="preserve">"Поддержка общественных семенных фондов" (ВБ), "Развитие животноводства и рынка" (МФСР), "Развитие животноводства и рынка - 2" (МФСР), "Улучшение управления пастбищами и животноводством" (МАР), "Финансирование поставок сельскохозяйственной техники в КР" (ЕАБР), "Финансирование проектов с/х секторе и развитие сельских регионов" (Польша), "Управление национальными водными ресурсами - Фаза 1" (МАР-СЕКО), "Повышение производительности в сельском хозяйстве и улучшение питания" (Глобальный фонд по с/х и продовольственной безопасности), а также планируется начало реализации новых проектов "Цепочка добавленной стоимости агрофинансирования" (ЕИБ, КфВ), "Обеспечения доступа к рынкам" (ВБ) и других.</w:t>
      </w:r>
    </w:p>
    <w:p>
      <w:pPr>
        <w:spacing w:after="60"/>
        <w:ind w:firstLine="567"/>
        <w:jc w:val="both"/>
      </w:pPr>
      <w:r>
        <w:rPr>
          <w:rFonts w:ascii="Arial" w:cs="Arial" w:eastAsia="Arial" w:hAnsi="Arial"/>
          <w:sz w:val="24"/>
          <w:szCs w:val="24"/>
        </w:rPr>
        <w:t xml:space="preserve">Проекты в сельском хозяйстве направлены на улучшение условий и для более продуктивного, прибыльного и устойчивого животноводства и растениеводства и улучшение оказания ирригационных услуг и управления водными ресурсами в целях повышения производительности орошаемого земледелия.</w:t>
      </w:r>
    </w:p>
    <w:p>
      <w:pPr>
        <w:spacing w:after="60"/>
        <w:ind w:firstLine="567"/>
        <w:jc w:val="both"/>
      </w:pPr>
      <w:r>
        <w:rPr>
          <w:rFonts w:ascii="Arial" w:cs="Arial" w:eastAsia="Arial" w:hAnsi="Arial"/>
          <w:sz w:val="24"/>
          <w:szCs w:val="24"/>
        </w:rPr>
        <w:t xml:space="preserve">В этот период будут реализовываться ряд крупных проектов в секторе транспорта на общую сумму 63366,6 млн. сомов.</w:t>
      </w:r>
    </w:p>
    <w:p>
      <w:pPr>
        <w:spacing w:after="60"/>
        <w:ind w:firstLine="567"/>
        <w:jc w:val="both"/>
      </w:pPr>
      <w:r>
        <w:rPr>
          <w:rFonts w:ascii="Arial" w:cs="Arial" w:eastAsia="Arial" w:hAnsi="Arial"/>
          <w:sz w:val="24"/>
          <w:szCs w:val="24"/>
        </w:rPr>
        <w:t xml:space="preserve">Проекты "Реконструкция автодороги Тараз - Талас - Суусамыр III" (ИБР, СФР), "Реабилитация автодороги Бишкек - Торугарт" (ИБР, СФР, КФАЭР, Фонд ОПЭК, ФР А-Д), Проект "Улучшение коридора ЦАРЭС 3" (автодорога Бишкек - Ош, участок Бишкек - Кара-Балта) Фаза 4 (АБР), Проект "Улучшение дорожных путей сообщения в ЦА" (Дорога Ош - Худжант) (ВБ), "Строительство альтернативной дороги "Север-Юг Фаза 1 и Фаза 2" (КНР), "Проект пути соединения между транспортными коридорами ЦАРЕС 1 и ЦАРЕС 3 (АБР), "Улучшение основных международных дорог" (JICA), "Улучшение автодороги Бишкек - Ош" Фаза 4" (ЕАБР) и другие, в дальнейшем обеспечат растущие потребности в пассажирских и грузовых перевозках. Планируется начало реализации новых проектов "Балыкчы - Ананьево - Каракол" (ИБР) и "Реабилитация автодороги Арал - Суусамыр" (ЕАБР).</w:t>
      </w:r>
    </w:p>
    <w:p>
      <w:pPr>
        <w:spacing w:after="60"/>
        <w:ind w:firstLine="567"/>
        <w:jc w:val="both"/>
      </w:pPr>
      <w:r>
        <w:rPr>
          <w:rFonts w:ascii="Arial" w:cs="Arial" w:eastAsia="Arial" w:hAnsi="Arial"/>
          <w:sz w:val="24"/>
          <w:szCs w:val="24"/>
        </w:rPr>
        <w:t xml:space="preserve">Значительные расходы приходятся также на энергетический сектор - 26289,0 млн. сомов. В энергетическом секторе будут реализовываться проекты "Вторая фаза реабилитации Токтогульской ГЭС" (АБР, ЕАБР), "Развитие сектора энергетики" (АБР), "Реабилитация сектора энергетики" (АБР), "Модернизация ТЭЦ города Бишкек" (КНР), "Реконструкция Атбашинской ГЭС" (Швейцария), "Повышение подотчетности и надежности электроснабжения" (ВБ) и другие. Реализация указанных проектов позволит в значительной мере улучшить состояние энергетической отрасли в Кыргызской Республике и создаст благоприятную основу для увеличения обмена электрической энергией между соседними государствами, а также транзитных перетоков. Намечается реализация новых проектов, таких, как "Реконструкция Токтогульской ГЭС Фаза 3" (АБР, ЕАБР), Проект "CASA-1000" (ВБ, ЕИБ, ИБР), "Ввод второго агрегата Камбаратинской ГЭС-2" (ЕАБР), "Реабилитация Уч-Курганской ГЭС" (АБР) и другие.</w:t>
      </w:r>
    </w:p>
    <w:p>
      <w:pPr>
        <w:spacing w:after="60"/>
        <w:ind w:firstLine="567"/>
        <w:jc w:val="both"/>
      </w:pPr>
      <w:r>
        <w:rPr>
          <w:rFonts w:ascii="Arial" w:cs="Arial" w:eastAsia="Arial" w:hAnsi="Arial"/>
          <w:sz w:val="24"/>
          <w:szCs w:val="24"/>
        </w:rPr>
        <w:t xml:space="preserve">Государственному агентству архитектуры, строительства и жилищно-коммунального хозяйства при Правительстве Кыргызской Республики предусматривается значительный объем финансирования на общую сумму 7857,4 млн. сомов. Продолжится реализация проектов "Улучшение водоснабжения города Бишкек 2" (ЕБРР-СЕКО), "Улучшение системы водоснабжения и канализации города Джалал-Абад" (ЕБРР-СЕКО), "Реабилитация водоснабжения и канализации города Талас" (ЕБРР-СЕКО), "Реабилитация водоснабжения и канализации города Кант" (ЕБРР-СЕКО) "Улучшение системы управления твердыми отходами г.Бишкек" (ИФЦА-ЕБРР). Намечается начало реализации новых проектов "Улучшение системы управления твердыми отходами города Ош" (ИФЦА, ЕИБ, ЕБРР), "Улучшение системы управления твердыми отходами города Джалал-Абад" (ИФЦА, ЕИБ, ЕБРР), "Реабилитация водоснабжения и канализации города Токмок" (СЕКО-ЕБРР), "Реабилитация водоснабжения и канализации города Кара-Балта (ЕБРР), Реабилитация водоснабжения и канализации города Баткен" (ИФЦА, ЕБРР), "Реабилитация водоснабжения и канализации города Нарын" (СЕКО-ЕБРР), "Реабилитация системы водоснабжения и канализации в городе Ош Фаза-2" (ЕБРР, ИФЦА, ЕИБ), Реабилитация системы водоснабжения и канализации в городах Кара-Суу, Кызыл-Кия, Майлуу-Суу, Чолпон-Ата, Балыкчы, Токтогул (ЕБРР, ИФЦА, ЕИБ) и другие.</w:t>
      </w:r>
    </w:p>
    <w:p>
      <w:pPr>
        <w:spacing w:after="60"/>
        <w:ind w:firstLine="567"/>
        <w:jc w:val="both"/>
      </w:pPr>
      <w:r>
        <w:rPr>
          <w:rFonts w:ascii="Arial" w:cs="Arial" w:eastAsia="Arial" w:hAnsi="Arial"/>
          <w:sz w:val="24"/>
          <w:szCs w:val="24"/>
        </w:rPr>
        <w:t xml:space="preserve">Основная цель государственных инвестиций в водном секторе - усиление координации действий и улучшение в области водоснабжения, канализации, санитарии и гигиены, в целях обеспечения достижения хороших результатов и укрепление здоровья населения путем доступа к качественной питьевой воде.</w:t>
      </w:r>
    </w:p>
    <w:p>
      <w:pPr>
        <w:spacing w:after="60"/>
        <w:ind w:firstLine="567"/>
        <w:jc w:val="both"/>
      </w:pPr>
      <w:r>
        <w:rPr>
          <w:rFonts w:ascii="Arial" w:cs="Arial" w:eastAsia="Arial" w:hAnsi="Arial"/>
          <w:sz w:val="24"/>
          <w:szCs w:val="24"/>
        </w:rPr>
        <w:t xml:space="preserve">Государственному агентству по делам местного самоуправления и межэтнических отношений при Правительстве Кыргызской Республики предусматривается значительный объем финансирования на общую сумму 7426,6 млн. сомов. Будут реализовываться следующие проекты: Проект сельских инвестиций - 3 (ВБ), Проект сельских инвестиций - 3 (КфВ), Устойчивое развитие сел в Кыргызской Республике (ИБР), "Городское планирование и развитие" (ВБ), Проект сельского водоснабжения и санитарии 3 (ИБР, ВБ) и другие. Проекты данного агентства направлены на улучшение доступа к экономической и социальной инфраструктуре.</w:t>
      </w:r>
    </w:p>
    <w:p>
      <w:pPr>
        <w:spacing w:after="60"/>
        <w:ind w:firstLine="567"/>
        <w:jc w:val="both"/>
      </w:pPr>
      <w:r>
        <w:rPr>
          <w:rFonts w:ascii="Arial" w:cs="Arial" w:eastAsia="Arial" w:hAnsi="Arial"/>
          <w:sz w:val="24"/>
          <w:szCs w:val="24"/>
        </w:rPr>
        <w:t xml:space="preserve">Министерству финансов Кыргызской Республики предусматривается финансирование на сумму 704,6 млн. сомов. Намечается начало реализации проекта "Устойчивое развитие Иссык-Куля - 2" (АБР). В рамках данного проекта планируется реабилитация и строительство очистных сооружений в городах Балыкчы, Чолпон-Ата и Каракол.</w:t>
      </w:r>
    </w:p>
    <w:p>
      <w:pPr>
        <w:spacing w:after="60"/>
        <w:ind w:firstLine="567"/>
        <w:jc w:val="both"/>
      </w:pPr>
      <w:r>
        <w:rPr>
          <w:rFonts w:ascii="Arial" w:cs="Arial" w:eastAsia="Arial" w:hAnsi="Arial"/>
          <w:sz w:val="24"/>
          <w:szCs w:val="24"/>
        </w:rPr>
        <w:t xml:space="preserve">Министерством чрезвычайных ситуаций Кыргызской Республики будет реализовываться проект "Модернизация гидрометеорологического обслуживания в Центральной Азии" (ВБ) на общую сумму 49,6 млн. сомов, также планируется начало реализации нового проекта "Управление рисками стихийных бедствий" (ВБ).</w:t>
      </w:r>
    </w:p>
    <w:p>
      <w:pPr>
        <w:spacing w:after="60"/>
        <w:ind w:firstLine="567"/>
        <w:jc w:val="both"/>
      </w:pPr>
      <w:r>
        <w:rPr>
          <w:rFonts w:ascii="Arial" w:cs="Arial" w:eastAsia="Arial" w:hAnsi="Arial"/>
          <w:sz w:val="24"/>
          <w:szCs w:val="24"/>
        </w:rPr>
        <w:t xml:space="preserve">Государственным агентством окружающей среды и лесного хозяйства при Правительстве Кыргызской Республики будет реализовываться проект "Управление лесным хозяйством в условиях изменения климата" (ВБ) на общую сумму 328,8 млн. сомов. Целью данного проекта является укрепление потенциала государственных учреждений и общин с целью улучшения устойчивого управления лесными экосистемами посредством осуществления инвестиций в планирование управления, восстановление экосистем и инфраструктуру.</w:t>
      </w:r>
    </w:p>
    <w:p>
      <w:pPr>
        <w:spacing w:after="60"/>
        <w:ind w:firstLine="567"/>
        <w:jc w:val="both"/>
      </w:pPr>
      <w:r>
        <w:rPr>
          <w:rFonts w:ascii="Arial" w:cs="Arial" w:eastAsia="Arial" w:hAnsi="Arial"/>
          <w:sz w:val="24"/>
          <w:szCs w:val="24"/>
        </w:rPr>
        <w:t xml:space="preserve">Государственным комитетом информационных технологий и связи Кыргызской Республики в период с 2018 по 2020 год будет реализовываться проект "Digital CASA" (ВБ) на общую сумму 895,0 млн. сомов.</w:t>
      </w:r>
    </w:p>
    <w:p>
      <w:pPr>
        <w:spacing w:after="240" w:before="240"/>
        <w:ind w:firstLine="567"/>
        <w:jc w:val="right"/>
      </w:pPr>
      <w:r>
        <w:rPr>
          <w:rFonts w:ascii="Arial" w:cs="Arial" w:eastAsia="Arial" w:hAnsi="Arial"/>
          <w:sz w:val="24"/>
          <w:szCs w:val="24"/>
        </w:rPr>
        <w:t xml:space="preserve">Таблица 26</w:t>
      </w:r>
    </w:p>
    <w:p>
      <w:pPr>
        <w:spacing w:after="240" w:before="200"/>
        <w:jc w:val="center"/>
      </w:pPr>
      <w:r>
        <w:rPr>
          <w:rFonts w:ascii="Arial" w:cs="Arial" w:eastAsia="Arial" w:hAnsi="Arial"/>
          <w:b/>
          <w:bCs/>
          <w:sz w:val="32"/>
          <w:szCs w:val="32"/>
        </w:rPr>
        <w:t xml:space="preserve">Внешнее финансирование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3"/>
        <w:gridCol w:w="1303"/>
        <w:gridCol w:w="1303"/>
        <w:gridCol w:w="1303"/>
        <w:gridCol w:w="1606"/>
        <w:gridCol w:w="1606"/>
        <w:gridCol w:w="1606"/>
      </w:tblGrid>
      <w:tr>
        <w:tc>
          <w:tcPr>
            <w:tcW w:type="dxa" w:w="145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2202,9</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3403,8</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9511,7</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11304,5</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11236,0</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7519,9</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17185,9</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20767,5</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29530,4</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31356,5</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31947,1</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27852,9</w:t>
            </w:r>
          </w:p>
        </w:tc>
      </w:tr>
      <w:tr>
        <w:tc>
          <w:tcPr>
            <w:tcW w:type="dxa" w:w="145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19388,8</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24171,3</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39042,1</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42661,0</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43183,1</w:t>
            </w:r>
          </w:p>
        </w:tc>
        <w:tc>
          <w:tcPr>
            <w:tcW w:type="dxa" w:w="1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35372,8</w:t>
            </w:r>
          </w:p>
        </w:tc>
      </w:tr>
    </w:tbl>
    <w:p>
      <w:pPr>
        <w:spacing w:after="240" w:before="240"/>
        <w:ind w:firstLine="567"/>
        <w:jc w:val="right"/>
      </w:pPr>
      <w:r>
        <w:rPr>
          <w:rFonts w:ascii="Arial" w:cs="Arial" w:eastAsia="Arial" w:hAnsi="Arial"/>
          <w:sz w:val="24"/>
          <w:szCs w:val="24"/>
        </w:rPr>
        <w:t xml:space="preserve">Таблица 27</w:t>
      </w:r>
    </w:p>
    <w:p>
      <w:pPr>
        <w:spacing w:after="240" w:before="200"/>
        <w:jc w:val="center"/>
      </w:pPr>
      <w:r>
        <w:rPr>
          <w:rFonts w:ascii="Arial" w:cs="Arial" w:eastAsia="Arial" w:hAnsi="Arial"/>
          <w:b/>
          <w:bCs/>
          <w:sz w:val="32"/>
          <w:szCs w:val="32"/>
        </w:rPr>
        <w:t xml:space="preserve">Внешнее финансирование (в % к ВВП)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4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ВВП</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423635,5</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458027,4</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494063,1</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538134,8</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589873,1</w:t>
            </w:r>
          </w:p>
        </w:tc>
        <w:tc>
          <w:tcPr>
            <w:tcW w:type="dxa" w:w="14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648480,1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Гранты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1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w:t>
            </w:r>
          </w:p>
        </w:tc>
      </w:tr>
    </w:tbl>
    <w:p>
      <w:pPr>
        <w:spacing w:after="240" w:before="240"/>
        <w:ind w:firstLine="567"/>
        <w:jc w:val="right"/>
      </w:pPr>
      <w:r>
        <w:rPr>
          <w:rFonts w:ascii="Arial" w:cs="Arial" w:eastAsia="Arial" w:hAnsi="Arial"/>
          <w:sz w:val="24"/>
          <w:szCs w:val="24"/>
        </w:rPr>
        <w:t xml:space="preserve">Таблица 28</w:t>
      </w:r>
    </w:p>
    <w:p>
      <w:pPr>
        <w:spacing w:after="240" w:before="200"/>
        <w:jc w:val="center"/>
      </w:pPr>
      <w:r>
        <w:rPr>
          <w:rFonts w:ascii="Arial" w:cs="Arial" w:eastAsia="Arial" w:hAnsi="Arial"/>
          <w:b/>
          <w:bCs/>
          <w:sz w:val="32"/>
          <w:szCs w:val="32"/>
        </w:rPr>
        <w:t xml:space="preserve">Механизм предоставления внешнего финансирования (тыс.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5"/>
        <w:gridCol w:w="1444"/>
        <w:gridCol w:w="1444"/>
        <w:gridCol w:w="1444"/>
        <w:gridCol w:w="1444"/>
        <w:gridCol w:w="1444"/>
        <w:gridCol w:w="1444"/>
      </w:tblGrid>
      <w:tr>
        <w:tc>
          <w:tcPr>
            <w:tcW w:type="dxa" w:w="151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4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1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19388868,2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24171276,9</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43540014,2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42661055,7</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43183103,2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35372800,3</w:t>
            </w:r>
          </w:p>
        </w:tc>
      </w:tr>
      <w:tr>
        <w:tc>
          <w:tcPr>
            <w:tcW w:type="dxa" w:w="1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377311,6</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504068,6</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1051597,7</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1715662,9</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1554407,2</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1560025,8</w:t>
            </w:r>
          </w:p>
        </w:tc>
      </w:tr>
      <w:tr>
        <w:tc>
          <w:tcPr>
            <w:tcW w:type="dxa" w:w="1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19766179,8</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24675345,5</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44591611,9</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44376718,6</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44737510,4</w:t>
            </w:r>
          </w:p>
        </w:tc>
        <w:tc>
          <w:tcPr>
            <w:tcW w:type="dxa" w:w="14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36932826,2</w:t>
            </w:r>
          </w:p>
        </w:tc>
      </w:tr>
    </w:tbl>
    <w:p>
      <w:pPr>
        <w:spacing w:after="240" w:before="240"/>
        <w:ind w:firstLine="567"/>
        <w:jc w:val="right"/>
      </w:pPr>
      <w:r>
        <w:rPr>
          <w:rFonts w:ascii="Arial" w:cs="Arial" w:eastAsia="Arial" w:hAnsi="Arial"/>
          <w:sz w:val="24"/>
          <w:szCs w:val="24"/>
        </w:rPr>
        <w:t xml:space="preserve">Таблица 29</w:t>
      </w:r>
    </w:p>
    <w:p>
      <w:pPr>
        <w:spacing w:after="240" w:before="200"/>
        <w:jc w:val="center"/>
      </w:pPr>
      <w:r>
        <w:rPr>
          <w:rFonts w:ascii="Arial" w:cs="Arial" w:eastAsia="Arial" w:hAnsi="Arial"/>
          <w:b/>
          <w:bCs/>
          <w:sz w:val="32"/>
          <w:szCs w:val="32"/>
        </w:rPr>
        <w:t xml:space="preserve">Механизм предоставления внешнего финансирования (% от общего значения)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01"/>
        <w:gridCol w:w="1223"/>
        <w:gridCol w:w="1223"/>
        <w:gridCol w:w="1223"/>
        <w:gridCol w:w="1569"/>
        <w:gridCol w:w="1569"/>
        <w:gridCol w:w="1569"/>
      </w:tblGrid>
      <w:tr>
        <w:tc>
          <w:tcPr>
            <w:tcW w:type="dxa" w:w="18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12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5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
 (прогноз)</w:t>
            </w:r>
          </w:p>
        </w:tc>
      </w:tr>
      <w:tr>
        <w:tc>
          <w:tcPr>
            <w:tcW w:type="dxa" w:w="1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98,1%</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97,6%</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96,1%</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96,5%</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95,8%</w:t>
            </w:r>
          </w:p>
        </w:tc>
      </w:tr>
      <w:tr>
        <w:tc>
          <w:tcPr>
            <w:tcW w:type="dxa" w:w="1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Внутреннее</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r>
      <w:tr>
        <w:tc>
          <w:tcPr>
            <w:tcW w:type="dxa" w:w="1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2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15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bl>
    <w:p>
      <w:pPr>
        <w:spacing w:after="240" w:before="240"/>
        <w:ind w:firstLine="567"/>
        <w:jc w:val="right"/>
      </w:pPr>
      <w:r>
        <w:rPr>
          <w:rFonts w:ascii="Arial" w:cs="Arial" w:eastAsia="Arial" w:hAnsi="Arial"/>
          <w:sz w:val="24"/>
          <w:szCs w:val="24"/>
        </w:rPr>
        <w:t xml:space="preserve">Таблица 30</w:t>
      </w:r>
    </w:p>
    <w:p>
      <w:pPr>
        <w:spacing w:after="240" w:before="200"/>
        <w:jc w:val="center"/>
      </w:pPr>
      <w:r>
        <w:rPr>
          <w:rFonts w:ascii="Arial" w:cs="Arial" w:eastAsia="Arial" w:hAnsi="Arial"/>
          <w:b/>
          <w:bCs/>
          <w:sz w:val="32"/>
          <w:szCs w:val="32"/>
        </w:rPr>
        <w:t xml:space="preserve">Детальный прогноз внешнего финансирования (млн. 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20"/>
        <w:gridCol w:w="904"/>
        <w:gridCol w:w="904"/>
        <w:gridCol w:w="904"/>
        <w:gridCol w:w="1116"/>
        <w:gridCol w:w="1116"/>
        <w:gridCol w:w="1116"/>
      </w:tblGrid>
      <w:tr>
        <w:tc>
          <w:tcPr>
            <w:tcW w:type="dxa" w:w="412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ГИ</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
 (факт)</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
 (факт)</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
 (оцен.)</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
 (прогноз)</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
 (прогноз)</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г.</w:t>
            </w:r>
          </w:p>
          <w:p>
            <w:pPr>
              <w:jc w:val="center"/>
            </w:pPr>
            <w:r>
              <w:rPr>
                <w:rFonts w:ascii="Arial" w:cs="Arial" w:eastAsia="Arial" w:hAnsi="Arial"/>
                <w:b/>
                <w:bCs/>
                <w:sz w:val="24"/>
                <w:szCs w:val="24"/>
              </w:rPr>
              <w:t xml:space="preserve">(прогноз)</w:t>
            </w:r>
          </w:p>
        </w:tc>
      </w:tr>
      <w:tr>
        <w:tc>
          <w:tcPr>
            <w:tcW w:type="dxa" w:w="4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правительств иностранных государств</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13051,2</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17816,6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16409,9</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18888,5</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10758,3</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10523,1</w:t>
            </w:r>
          </w:p>
        </w:tc>
      </w:tr>
      <w:tr>
        <w:tc>
          <w:tcPr>
            <w:tcW w:type="dxa" w:w="41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 междунар. организац.</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6337,6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6354,7</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22632,2</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23772,6</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33424,8</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24849,7</w:t>
            </w:r>
          </w:p>
        </w:tc>
      </w:tr>
    </w:tbl>
    <w:p>
      <w:pPr>
        <w:spacing w:after="200" w:before="200"/>
        <w:jc w:val="center"/>
      </w:pPr>
      <w:r>
        <w:rPr>
          <w:rFonts w:ascii="Arial" w:cs="Arial" w:eastAsia="Arial" w:hAnsi="Arial"/>
          <w:b/>
          <w:bCs/>
          <w:sz w:val="24"/>
          <w:szCs w:val="24"/>
        </w:rPr>
        <w:t xml:space="preserve">7. Реформирование заработной платы бюджетных учреждений</w:t>
      </w:r>
    </w:p>
    <w:p>
      <w:pPr>
        <w:spacing w:after="60"/>
        <w:ind w:firstLine="567"/>
        <w:jc w:val="both"/>
      </w:pPr>
      <w:r>
        <w:rPr>
          <w:rFonts w:ascii="Arial" w:cs="Arial" w:eastAsia="Arial" w:hAnsi="Arial"/>
          <w:sz w:val="24"/>
          <w:szCs w:val="24"/>
        </w:rPr>
        <w:t xml:space="preserve">В 2013-2015 годах Правительством Кыргызской Республики проведен ряд реформ в сфере заработной платы работников бюджетных учреждений.</w:t>
      </w:r>
    </w:p>
    <w:p>
      <w:pPr>
        <w:spacing w:after="60"/>
        <w:ind w:firstLine="567"/>
        <w:jc w:val="both"/>
      </w:pPr>
      <w:hyperlink w:history="1" r:id="rIdhpxbqggw8osvbv-ppre3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июня 2013 года № 384 внедрена новая система оплаты труда государственных и муниципальных служащих, основанная на унификации подходов к оплате труда и переход к системе оплаты, размер которой зависит от реального вклада, результативности и квалификации работников.</w:t>
      </w:r>
    </w:p>
    <w:p>
      <w:pPr>
        <w:spacing w:after="60"/>
        <w:ind w:firstLine="567"/>
        <w:jc w:val="both"/>
      </w:pPr>
      <w:r>
        <w:rPr>
          <w:rFonts w:ascii="Arial" w:cs="Arial" w:eastAsia="Arial" w:hAnsi="Arial"/>
          <w:sz w:val="24"/>
          <w:szCs w:val="24"/>
        </w:rPr>
        <w:t xml:space="preserve">Для решения указанной задачи была разработана Программа совершенствования системы оплаты труда государственных и муниципальных служащих, новые реестры государственных и муниципальных служащих, типовые квалификационные требования к должностям, типовые должностные инструкции, система оценки деятельности с использованием ключевых показателей эффективности и модель сетки оплаты труда.</w:t>
      </w:r>
    </w:p>
    <w:p>
      <w:pPr>
        <w:spacing w:after="60"/>
        <w:ind w:firstLine="567"/>
        <w:jc w:val="both"/>
      </w:pPr>
      <w:r>
        <w:rPr>
          <w:rFonts w:ascii="Arial" w:cs="Arial" w:eastAsia="Arial" w:hAnsi="Arial"/>
          <w:sz w:val="24"/>
          <w:szCs w:val="24"/>
        </w:rPr>
        <w:t xml:space="preserve">Обновленная модель системы оплаты труда существенно отличается от предыдущих привязанностью к реестрам государственных и муниципальных служащих, единообразием и системностью подходов в определении размеров оплаты труда, оптимизацией уровней оплаты труда в государственных и муниципальных органах, применением единой базовой ставки для всех органов управления и прямой зависимостью от результатов деятельности государственных и муниципальных служащих.</w:t>
      </w:r>
    </w:p>
    <w:p>
      <w:pPr>
        <w:spacing w:after="60"/>
        <w:ind w:firstLine="567"/>
        <w:jc w:val="both"/>
      </w:pPr>
      <w:r>
        <w:rPr>
          <w:rFonts w:ascii="Arial" w:cs="Arial" w:eastAsia="Arial" w:hAnsi="Arial"/>
          <w:sz w:val="24"/>
          <w:szCs w:val="24"/>
        </w:rPr>
        <w:t xml:space="preserve">Из-за большой разницы в заработной плате в различных органах государственного управления и бюджетных ограничений одномоментно перевести все госорганы на новую систему оплаты труда не представляется возможным потребуется поэтапное решение с принятием соответствующих нормативных правовых актов.</w:t>
      </w:r>
    </w:p>
    <w:p>
      <w:pPr>
        <w:spacing w:after="60"/>
        <w:ind w:firstLine="567"/>
        <w:jc w:val="both"/>
      </w:pPr>
      <w:r>
        <w:rPr>
          <w:rFonts w:ascii="Arial" w:cs="Arial" w:eastAsia="Arial" w:hAnsi="Arial"/>
          <w:sz w:val="24"/>
          <w:szCs w:val="24"/>
        </w:rPr>
        <w:t xml:space="preserve">Нормативными правовыми актами Кыргызской Республики в 2014 году обеспечено единообразие размера пенсий сотрудников правоохранительных органов, силовых структур, а также единообразие денежного довольствия военнослужащих и сотрудников правоохранительных органов. До 1 марта 2014 года состав и структура денежного довольствия военнослужащих и сотрудников правоохранительных органов отличались: у отдельных силовых ведомств базовая часть (должностной оклад) денежного довольствия была низкой, а надбавки и выплаты составляли наибольший удельный вес от среднемесячного денежного довольствия, в то время как у других должностные оклады составляют наибольшую часть общего денежного довольствия.</w:t>
      </w:r>
    </w:p>
    <w:p>
      <w:pPr>
        <w:spacing w:after="60"/>
        <w:ind w:firstLine="567"/>
        <w:jc w:val="both"/>
      </w:pPr>
      <w:r>
        <w:rPr>
          <w:rFonts w:ascii="Arial" w:cs="Arial" w:eastAsia="Arial" w:hAnsi="Arial"/>
          <w:sz w:val="24"/>
          <w:szCs w:val="24"/>
        </w:rPr>
        <w:t xml:space="preserve">В этой связи в рамках реформы денежного довольствия военнослужащих и сотрудников правоохранительных органов утвержден единый состав денежного довольствия и добавочных видов денежного довольствия для всех силовых структур.</w:t>
      </w:r>
    </w:p>
    <w:p>
      <w:pPr>
        <w:spacing w:after="60"/>
        <w:ind w:firstLine="567"/>
        <w:jc w:val="both"/>
      </w:pPr>
      <w:r>
        <w:rPr>
          <w:rFonts w:ascii="Arial" w:cs="Arial" w:eastAsia="Arial" w:hAnsi="Arial"/>
          <w:sz w:val="24"/>
          <w:szCs w:val="24"/>
        </w:rPr>
        <w:t xml:space="preserve">Новые условия оплаты денежного содержания отдельных категорий военнослужащих и сотрудников правоохранительных органов предусматривают изменение структуры и увеличение денежного довольствия военнослужащих и сотрудников правоохранительных органов в среднем на 37% по республике. При этом увеличение среднего денежного довольствия в каждом ведомстве варьируется в зависимости от ранее установленных размеров денежного содержания и условий денежного состава. В связи с вышеуказанным повышением должностных окладов у пенсионеров работавшие в системе органов внутренних дел, чрезвычайных ситуаций, в органах и учреждениях уголовно-исполнительной (пенитенциарной) системы, пенсии увеличены в среднем в 2 раза.</w:t>
      </w:r>
    </w:p>
    <w:p>
      <w:pPr>
        <w:spacing w:after="60"/>
        <w:ind w:firstLine="567"/>
        <w:jc w:val="both"/>
      </w:pPr>
      <w:r>
        <w:rPr>
          <w:rFonts w:ascii="Arial" w:cs="Arial" w:eastAsia="Arial" w:hAnsi="Arial"/>
          <w:sz w:val="24"/>
          <w:szCs w:val="24"/>
        </w:rPr>
        <w:t xml:space="preserve">В целях совершенствования системы денежного довольствия военнослужащих и сотрудников правоохранительных органов будет проведена инвентаризация нормативных правовых актов Кыргызской Республики.</w:t>
      </w:r>
    </w:p>
    <w:p>
      <w:pPr>
        <w:spacing w:after="60"/>
        <w:ind w:firstLine="567"/>
        <w:jc w:val="both"/>
      </w:pPr>
      <w:r>
        <w:rPr>
          <w:rFonts w:ascii="Arial" w:cs="Arial" w:eastAsia="Arial" w:hAnsi="Arial"/>
          <w:sz w:val="24"/>
          <w:szCs w:val="24"/>
        </w:rPr>
        <w:t xml:space="preserve">С 2015 года заработная плата работников реального сектора, а также других категорий работников, не относящихся к категории государственных служащих, утверждена с учетом специфики деятельности данных секторов. В этой области работа также будет направлена по инвентаризации нормативных правовых актов по условиям оплаты труда и упорядочения правовых норм по численности данных секторов.</w:t>
      </w:r>
    </w:p>
    <w:p>
      <w:pPr>
        <w:spacing w:after="60"/>
        <w:ind w:firstLine="567"/>
        <w:jc w:val="both"/>
      </w:pPr>
      <w:r>
        <w:rPr>
          <w:rFonts w:ascii="Arial" w:cs="Arial" w:eastAsia="Arial" w:hAnsi="Arial"/>
          <w:sz w:val="24"/>
          <w:szCs w:val="24"/>
        </w:rPr>
        <w:t xml:space="preserve">Управление расходами фонда оплаты труда является крайне важным аспектом в контексте обеспечения общей устойчивости бюджетных расходов. Расходы на заработную плату составляют 30% от общих объемов расходов государственного сектора, что эквивалентно примерно 10 процентам от ВВП. Помимо того, что они сами по себе являются значительной статьей расходов, расходы фонда заработной платы в государственном секторе также влекут за собой и долгосрочные бюджетные обязательства, регулирование которых вызывает особые сложности.</w:t>
      </w:r>
    </w:p>
    <w:p>
      <w:pPr>
        <w:spacing w:after="60"/>
        <w:ind w:firstLine="567"/>
        <w:jc w:val="both"/>
      </w:pPr>
      <w:r>
        <w:rPr>
          <w:rFonts w:ascii="Arial" w:cs="Arial" w:eastAsia="Arial" w:hAnsi="Arial"/>
          <w:sz w:val="24"/>
          <w:szCs w:val="24"/>
        </w:rPr>
        <w:t xml:space="preserve">Управление расходами фонда оплаты труда в Кыргызской Республике является важным аспектом в обеспечении общей устойчивости бюджетных расходов. В этой связи основными задачами являются:</w:t>
      </w:r>
    </w:p>
    <w:p>
      <w:pPr>
        <w:spacing w:after="60"/>
        <w:ind w:firstLine="567"/>
        <w:jc w:val="both"/>
      </w:pPr>
      <w:r>
        <w:rPr>
          <w:rFonts w:ascii="Arial" w:cs="Arial" w:eastAsia="Arial" w:hAnsi="Arial"/>
          <w:sz w:val="24"/>
          <w:szCs w:val="24"/>
        </w:rPr>
        <w:t xml:space="preserve">- повышение эффективности и контролируемости расходов на оплату труда;</w:t>
      </w:r>
    </w:p>
    <w:p>
      <w:pPr>
        <w:spacing w:after="60"/>
        <w:ind w:firstLine="567"/>
        <w:jc w:val="both"/>
      </w:pPr>
      <w:r>
        <w:rPr>
          <w:rFonts w:ascii="Arial" w:cs="Arial" w:eastAsia="Arial" w:hAnsi="Arial"/>
          <w:sz w:val="24"/>
          <w:szCs w:val="24"/>
        </w:rPr>
        <w:t xml:space="preserve">- согласованность мер политики в сфере оплаты труда с общими целевыми бюджетными показателями;</w:t>
      </w:r>
    </w:p>
    <w:p>
      <w:pPr>
        <w:spacing w:after="60"/>
        <w:ind w:firstLine="567"/>
        <w:jc w:val="both"/>
      </w:pPr>
      <w:r>
        <w:rPr>
          <w:rFonts w:ascii="Arial" w:cs="Arial" w:eastAsia="Arial" w:hAnsi="Arial"/>
          <w:sz w:val="24"/>
          <w:szCs w:val="24"/>
        </w:rPr>
        <w:t xml:space="preserve">- динамика заработной платы предсказуемая в государственном секторе.</w:t>
      </w:r>
    </w:p>
    <w:p>
      <w:pPr>
        <w:spacing w:after="60"/>
        <w:ind w:firstLine="567"/>
        <w:jc w:val="both"/>
      </w:pPr>
      <w:r>
        <w:rPr>
          <w:rFonts w:ascii="Arial" w:cs="Arial" w:eastAsia="Arial" w:hAnsi="Arial"/>
          <w:sz w:val="24"/>
          <w:szCs w:val="24"/>
        </w:rPr>
        <w:t xml:space="preserve">В целях достижения устойчивости в сфере фонда заработной платы в государственном секторе планируется подготовить План мер по снижению фонда заработной платы в государственном секторе к ВВП, которая будет в себе включать следующие основные меры:</w:t>
      </w:r>
    </w:p>
    <w:p>
      <w:pPr>
        <w:spacing w:after="60"/>
        <w:ind w:firstLine="567"/>
        <w:jc w:val="both"/>
      </w:pPr>
      <w:r>
        <w:rPr>
          <w:rFonts w:ascii="Arial" w:cs="Arial" w:eastAsia="Arial" w:hAnsi="Arial"/>
          <w:sz w:val="24"/>
          <w:szCs w:val="24"/>
        </w:rPr>
        <w:t xml:space="preserve">- автоматизирование численности работников бюджетной сферы в разрезе функциональной и ведомственной классификации;</w:t>
      </w:r>
    </w:p>
    <w:p>
      <w:pPr>
        <w:spacing w:after="60"/>
        <w:ind w:firstLine="567"/>
        <w:jc w:val="both"/>
      </w:pPr>
      <w:r>
        <w:rPr>
          <w:rFonts w:ascii="Arial" w:cs="Arial" w:eastAsia="Arial" w:hAnsi="Arial"/>
          <w:sz w:val="24"/>
          <w:szCs w:val="24"/>
        </w:rPr>
        <w:t xml:space="preserve">- подробный функциональный обзор бюджетных учреждений по секторам с последующим принятием нормативных правовых актов по оптимизации численности и фонда заработной платы;</w:t>
      </w:r>
    </w:p>
    <w:p>
      <w:pPr>
        <w:spacing w:after="60"/>
        <w:ind w:firstLine="567"/>
        <w:jc w:val="both"/>
      </w:pPr>
      <w:r>
        <w:rPr>
          <w:rFonts w:ascii="Arial" w:cs="Arial" w:eastAsia="Arial" w:hAnsi="Arial"/>
          <w:sz w:val="24"/>
          <w:szCs w:val="24"/>
        </w:rPr>
        <w:t xml:space="preserve">- разработка инструкции по планированию фонда заработной платы в бюджетных учреждениях (Правила фонда оплаты труда);</w:t>
      </w:r>
    </w:p>
    <w:p>
      <w:pPr>
        <w:spacing w:after="60"/>
        <w:ind w:firstLine="567"/>
        <w:jc w:val="both"/>
      </w:pPr>
      <w:r>
        <w:rPr>
          <w:rFonts w:ascii="Arial" w:cs="Arial" w:eastAsia="Arial" w:hAnsi="Arial"/>
          <w:sz w:val="24"/>
          <w:szCs w:val="24"/>
        </w:rPr>
        <w:t xml:space="preserve">- проведение инвентаризации нормативных правовых актов в сфере оплаты труда;</w:t>
      </w:r>
    </w:p>
    <w:p>
      <w:pPr>
        <w:spacing w:after="60"/>
        <w:ind w:firstLine="567"/>
        <w:jc w:val="both"/>
      </w:pPr>
      <w:r>
        <w:rPr>
          <w:rFonts w:ascii="Arial" w:cs="Arial" w:eastAsia="Arial" w:hAnsi="Arial"/>
          <w:sz w:val="24"/>
          <w:szCs w:val="24"/>
        </w:rPr>
        <w:t xml:space="preserve">- подготовка проектов нормативных правовых актов по внедрению информационной системы человеческими ресурсами;</w:t>
      </w:r>
    </w:p>
    <w:p>
      <w:pPr>
        <w:spacing w:after="60"/>
        <w:ind w:firstLine="567"/>
        <w:jc w:val="both"/>
      </w:pPr>
      <w:r>
        <w:rPr>
          <w:rFonts w:ascii="Arial" w:cs="Arial" w:eastAsia="Arial" w:hAnsi="Arial"/>
          <w:sz w:val="24"/>
          <w:szCs w:val="24"/>
        </w:rPr>
        <w:t xml:space="preserve">- подготовка согласованного с бюджетными параметрами плана повышения заработной платы в государственном секторе;</w:t>
      </w:r>
    </w:p>
    <w:p>
      <w:pPr>
        <w:spacing w:after="60"/>
        <w:ind w:firstLine="567"/>
        <w:jc w:val="both"/>
      </w:pPr>
      <w:r>
        <w:rPr>
          <w:rFonts w:ascii="Arial" w:cs="Arial" w:eastAsia="Arial" w:hAnsi="Arial"/>
          <w:sz w:val="24"/>
          <w:szCs w:val="24"/>
        </w:rPr>
        <w:t xml:space="preserve">- продолжение реформ по заработной плате государственных и муниципальных служащих до 2020 года.</w:t>
      </w:r>
    </w:p>
    <w:p>
      <w:pPr>
        <w:spacing w:after="60"/>
        <w:ind w:firstLine="567"/>
        <w:jc w:val="both"/>
      </w:pPr>
      <w:r>
        <w:rPr>
          <w:rFonts w:ascii="Arial" w:cs="Arial" w:eastAsia="Arial" w:hAnsi="Arial"/>
          <w:sz w:val="24"/>
          <w:szCs w:val="24"/>
        </w:rPr>
        <w:t xml:space="preserve">Ожидается, что уменьшение первичных текущих расходов к 2018 году будет частично достигнуто за счет сокращений фонда оплаты труда в государственном секторе.</w:t>
      </w:r>
    </w:p>
    <w:p>
      <w:pPr>
        <w:spacing w:after="60"/>
        <w:ind w:firstLine="567"/>
        <w:jc w:val="both"/>
      </w:pPr>
      <w:r>
        <w:rPr>
          <w:rFonts w:ascii="Arial" w:cs="Arial" w:eastAsia="Arial" w:hAnsi="Arial"/>
          <w:sz w:val="24"/>
          <w:szCs w:val="24"/>
        </w:rPr>
        <w:t xml:space="preserve">Учитывая прогнозные показатели ВВП на 2017-2018 годы, для достижения структурного показателя в соответствии с Меморандумом между Правительством Кыргызской Республики и МВФ проводится определенная работа по сдерживанию роста фонда заработной платы работников бюджетной сферы.</w:t>
      </w:r>
    </w:p>
    <w:p>
      <w:pPr>
        <w:spacing w:after="60"/>
        <w:ind w:firstLine="567"/>
        <w:jc w:val="both"/>
      </w:pPr>
      <w:r>
        <w:rPr>
          <w:rFonts w:ascii="Arial" w:cs="Arial" w:eastAsia="Arial" w:hAnsi="Arial"/>
          <w:sz w:val="24"/>
          <w:szCs w:val="24"/>
        </w:rPr>
        <w:t xml:space="preserve">Несистемный подход к вопросу увеличения роста заработной платы требует постоянного увеличения расходов государственного бюджета.</w:t>
      </w:r>
    </w:p>
    <w:p>
      <w:pPr>
        <w:spacing w:after="60"/>
        <w:ind w:firstLine="567"/>
        <w:jc w:val="both"/>
      </w:pPr>
      <w:r>
        <w:rPr>
          <w:rFonts w:ascii="Arial" w:cs="Arial" w:eastAsia="Arial" w:hAnsi="Arial"/>
          <w:sz w:val="24"/>
          <w:szCs w:val="24"/>
        </w:rPr>
        <w:t xml:space="preserve">Решение об увеличении постоянных расходов на оплату труда необходимо увязывать с увеличением стабильных источников доходов.</w:t>
      </w:r>
    </w:p>
    <w:p>
      <w:pPr>
        <w:spacing w:after="60"/>
        <w:ind w:firstLine="567"/>
        <w:jc w:val="both"/>
      </w:pPr>
      <w:r>
        <w:rPr>
          <w:rFonts w:ascii="Arial" w:cs="Arial" w:eastAsia="Arial" w:hAnsi="Arial"/>
          <w:sz w:val="24"/>
          <w:szCs w:val="24"/>
        </w:rPr>
        <w:t xml:space="preserve">Для достижения этой цели и повышения эффективности расходов и поддержания устойчивой бюджетной позиции проводится определенная работа по консолидации расходов, связанных с заработной платой, включая надбавки, с целью повышения прозрачности бюджета, предпринимается ряд мер по реформированию фонда оплаты труда с тем, чтобы ФОТ составил 8,8% ВВП в 2018 году с учетом введения Бюджетного </w:t>
      </w:r>
      <w:hyperlink w:history="1" r:id="rIdwm57huovvcowwysa2sad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В связи с вступлением Кыргызской Республики в ЕАЭС на основании технических регламентов, вытекающих из соглашений по вступлению в ЕАЭС и взятых обязательств Кыргызской Республики, для решения задач по обязательствам ЕАЭС будет решаться вопрос увеличения фонда заработной платы лабораторных работников, в функции которых входит анализ и мониторинг осуществления экспорта и импорта товаров (продовольственные, сельскохозяйственные) в страны-членов ЕАЭС, работников Государственной налоговой службы при Правительстве Кыргызской Республики на региональном уровне, а также повышения заработной платы госслужащих и муниципальных служащих. По предварительным расчетам сумма составит 1,5-1,9 млрд. сомов.</w:t>
      </w:r>
    </w:p>
    <w:p>
      <w:pPr>
        <w:spacing w:after="240" w:before="240"/>
        <w:ind w:firstLine="567"/>
        <w:jc w:val="left"/>
      </w:pPr>
      <w:r>
        <w:rPr>
          <w:rFonts w:ascii="Arial" w:cs="Arial" w:eastAsia="Arial" w:hAnsi="Arial"/>
          <w:b/>
          <w:bCs/>
          <w:sz w:val="24"/>
          <w:szCs w:val="24"/>
        </w:rPr>
        <w:t xml:space="preserve">Таблица 1. Структура ресурсов государственного сектора</w:t>
      </w:r>
    </w:p>
    <w:p>
      <w:pPr>
        <w:spacing w:after="60"/>
        <w:ind w:firstLine="567"/>
        <w:jc w:val="right"/>
      </w:pPr>
      <w:r>
        <w:rPr>
          <w:rFonts w:ascii="Arial" w:cs="Arial" w:eastAsia="Arial" w:hAnsi="Arial"/>
          <w:sz w:val="24"/>
          <w:szCs w:val="24"/>
        </w:rPr>
        <w:t xml:space="preserve">млн.сомов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36"/>
        <w:gridCol w:w="948"/>
        <w:gridCol w:w="948"/>
        <w:gridCol w:w="948"/>
        <w:gridCol w:w="948"/>
        <w:gridCol w:w="948"/>
      </w:tblGrid>
      <w:tr>
        <w:tc>
          <w:tcPr>
            <w:tcW w:type="dxa" w:w="54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факт</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РЕСУРСОВ ГОСУДАРСТВЕННОГО СЕКТОРА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Общая сумма доходов и грантов госбюджета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130569,6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140932,5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151689,8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154544,4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156998,3</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Доходы госбюджета (включая спецсредства)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120692,5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127996,6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137782,6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143308,4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149478,4</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Спецсредства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12546,9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Гранты(1)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9877,1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12935,9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13907,2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11236,0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7519,9</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Доходы Социального фонда (включая МС)</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44700,4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45937,5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50654,9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52739,9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54888,8</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Сооплата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429,6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429,7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432,3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434,0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Финансирование</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20878,1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23321,9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23784,0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15555,4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12057,3</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внутренние займы</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1694,3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-3695,4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-1375,0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-6020,2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-3743,5</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Чистые новые внешние займы</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19183,8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27017,3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25159,0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21575,6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15800,8</w:t>
            </w:r>
          </w:p>
        </w:tc>
      </w:tr>
      <w:tr>
        <w:tc>
          <w:tcPr>
            <w:tcW w:type="dxa" w:w="5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 в финансировании</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7145,8</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7916,6</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СТРУКТУРА ОБЩЕЙ СУММЫ РАСХОДОВ</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196378,9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210621,6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226558,4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223271,9</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224378,4</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Социального фонда (вкл. МС и Сооплату)</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42312,3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45935,7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49371,7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52106,5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54875,0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государственного бюджета</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151447,7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164254,4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175473,8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170099,8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169055,6</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Обслуживание долга(2)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5151,7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6227,3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6811,7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7520,8</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7673,7</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Инвестиции</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25407,6</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30131,2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36611,3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36716,5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34579,9</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13317,3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25377,7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31395,7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31562,1</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29319,8</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Внутренние(3)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12090,2</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4753,5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5215,7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5260,0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 софинансирование ГИ</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1353,5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1715,7</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1554,4</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1560,0</w:t>
            </w:r>
          </w:p>
        </w:tc>
      </w:tr>
      <w:tr>
        <w:tc>
          <w:tcPr>
            <w:tcW w:type="dxa" w:w="543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Расходование спецсредств</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12532,0</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9632,5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94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54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Дискреционные текущие расходы госбюджета(4)</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108356,5</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118263,5</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120684,3</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114624,2</w:t>
            </w:r>
          </w:p>
        </w:tc>
        <w:tc>
          <w:tcPr>
            <w:tcW w:type="dxa" w:w="9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115463,2</w:t>
            </w:r>
          </w:p>
        </w:tc>
      </w:tr>
    </w:tbl>
    <w:p>
      <w:pPr>
        <w:spacing w:after="60" w:before="120"/>
        <w:ind w:firstLine="567"/>
        <w:jc w:val="both"/>
      </w:pPr>
      <w:r>
        <w:rPr>
          <w:rFonts w:ascii="Arial" w:cs="Arial" w:eastAsia="Arial" w:hAnsi="Arial"/>
          <w:sz w:val="24"/>
          <w:szCs w:val="24"/>
        </w:rPr>
        <w:t xml:space="preserve">Примечание: 1. Включает внешние гранты на ГИ.</w:t>
      </w:r>
    </w:p>
    <w:p>
      <w:pPr>
        <w:spacing w:after="60"/>
        <w:ind w:firstLine="567"/>
        <w:jc w:val="both"/>
      </w:pPr>
      <w:r>
        <w:rPr>
          <w:rFonts w:ascii="Arial" w:cs="Arial" w:eastAsia="Arial" w:hAnsi="Arial"/>
          <w:sz w:val="24"/>
          <w:szCs w:val="24"/>
        </w:rPr>
        <w:t xml:space="preserve">2. По внутреннему и внешнему долгу.</w:t>
      </w:r>
    </w:p>
    <w:p>
      <w:pPr>
        <w:spacing w:after="60"/>
        <w:ind w:firstLine="567"/>
        <w:jc w:val="both"/>
      </w:pPr>
      <w:r>
        <w:rPr>
          <w:rFonts w:ascii="Arial" w:cs="Arial" w:eastAsia="Arial" w:hAnsi="Arial"/>
          <w:sz w:val="24"/>
          <w:szCs w:val="24"/>
        </w:rPr>
        <w:t xml:space="preserve">3. Включает внутреннее софинансирование ГИ и неклассифицированные внутренние инвестиции капитала.</w:t>
      </w:r>
    </w:p>
    <w:p>
      <w:pPr>
        <w:spacing w:after="60"/>
        <w:ind w:firstLine="567"/>
        <w:jc w:val="both"/>
      </w:pPr>
      <w:r>
        <w:rPr>
          <w:rFonts w:ascii="Arial" w:cs="Arial" w:eastAsia="Arial" w:hAnsi="Arial"/>
          <w:sz w:val="24"/>
          <w:szCs w:val="24"/>
        </w:rPr>
        <w:t xml:space="preserve">4. За исключением спецсредств.</w:t>
      </w:r>
    </w:p>
    <w:p>
      <w:pPr>
        <w:spacing w:after="240" w:before="240"/>
        <w:ind w:firstLine="567"/>
        <w:jc w:val="left"/>
      </w:pPr>
      <w:r>
        <w:rPr>
          <w:rFonts w:ascii="Arial" w:cs="Arial" w:eastAsia="Arial" w:hAnsi="Arial"/>
          <w:b/>
          <w:bCs/>
          <w:sz w:val="24"/>
          <w:szCs w:val="24"/>
        </w:rPr>
        <w:t xml:space="preserve">Таблица 2. Ключевые макроэкономические показатели на 2016-2020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6"/>
        <w:gridCol w:w="1370"/>
        <w:gridCol w:w="1081"/>
        <w:gridCol w:w="1081"/>
        <w:gridCol w:w="1081"/>
        <w:gridCol w:w="1079"/>
      </w:tblGrid>
      <w:tr>
        <w:tc>
          <w:tcPr>
            <w:tcW w:type="dxa" w:w="448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ожид.</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458027,4</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494063,1</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538134,8</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589873,1</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648480,1</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Темпы реального роста (%)</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4,8</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Дефлятор ВВП (%)</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tcW w:type="dxa" w:w="44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37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10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107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tcW w:type="dxa" w:w="44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 сом/USD</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71,6</w:t>
            </w:r>
          </w:p>
        </w:tc>
        <w:tc>
          <w:tcPr>
            <w:tcW w:type="dxa" w:w="10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w:t>
            </w:r>
          </w:p>
        </w:tc>
        <w:tc>
          <w:tcPr>
            <w:tcW w:type="dxa" w:w="10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75,9</w:t>
            </w:r>
          </w:p>
        </w:tc>
      </w:tr>
    </w:tbl>
    <w:p>
      <w:pPr>
        <w:spacing w:after="240" w:before="240"/>
        <w:ind w:firstLine="567"/>
        <w:jc w:val="left"/>
      </w:pPr>
      <w:r>
        <w:rPr>
          <w:rFonts w:ascii="Arial" w:cs="Arial" w:eastAsia="Arial" w:hAnsi="Arial"/>
          <w:b/>
          <w:bCs/>
          <w:sz w:val="24"/>
          <w:szCs w:val="24"/>
        </w:rPr>
        <w:t xml:space="preserve">Таблица 3. Показатели внутренних доходов, 2016-2020 гг.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7"/>
        <w:gridCol w:w="1360"/>
        <w:gridCol w:w="1073"/>
        <w:gridCol w:w="1073"/>
        <w:gridCol w:w="1073"/>
        <w:gridCol w:w="1073"/>
      </w:tblGrid>
      <w:tr>
        <w:tc>
          <w:tcPr>
            <w:tcW w:type="dxa" w:w="45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(млн.сом)</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130569,6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140932,5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151689,8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154544,4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156998,3</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120692,5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127996,6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137782,6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143308,4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149478,4</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104,3</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поступлении</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93810,0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105294,1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114779,1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120663,8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126619,9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104,9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26882,5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22702,5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23003,5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22644,6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22858,5</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78,3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84,5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12546,9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9640,7</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14335,6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13061,9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11637,0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11406,3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11519,7</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Официальные трансферты</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9877,1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12935,9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13907,2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11236,0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7519,9</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66,9</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3403,8</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9511,7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11304,5</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11236,0</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7519,9</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ВВП)</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28,2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24,2</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r>
      <w:tr>
        <w:tc>
          <w:tcPr>
            <w:tcW w:type="dxa" w:w="452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Официальные трансферты</w:t>
            </w:r>
          </w:p>
        </w:tc>
        <w:tc>
          <w:tcPr>
            <w:tcW w:type="dxa" w:w="136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45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0,7</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240" w:before="240"/>
        <w:ind w:firstLine="567"/>
        <w:jc w:val="left"/>
      </w:pPr>
      <w:r>
        <w:rPr>
          <w:rFonts w:ascii="Arial" w:cs="Arial" w:eastAsia="Arial" w:hAnsi="Arial"/>
          <w:b/>
          <w:bCs/>
          <w:sz w:val="24"/>
          <w:szCs w:val="24"/>
        </w:rPr>
        <w:t xml:space="preserve">Таблица 4. Финансирование дефицита бюджета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3"/>
        <w:gridCol w:w="1333"/>
        <w:gridCol w:w="1016"/>
        <w:gridCol w:w="1016"/>
        <w:gridCol w:w="1016"/>
        <w:gridCol w:w="1016"/>
      </w:tblGrid>
      <w:tr>
        <w:tc>
          <w:tcPr>
            <w:tcW w:type="dxa" w:w="478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10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1018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(млн.сом)</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1694,3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-3695,4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-1375,0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-6020,2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-3743,5</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11444,5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3051,4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9000,6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5104,8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10658,4</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-255,3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208,8</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15993,7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11000,0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14500,0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7255,3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2899,2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1806,4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-647,0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-11157,5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-10997,8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-9945,2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-4391,6</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выдача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14 243,5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13672,6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11265,4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11621,0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6053,0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3086,1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2674,8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2159,6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1675,8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1661,4</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9750,2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6746,8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10375,6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11125,0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14401,9</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172,1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69,2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153,8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129,5</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19183,8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27017,3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25159,0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21575,6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15800,8</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20767,5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29530,4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31356,5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31947,1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27852,9</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4239,4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4569,2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1994,1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5823,1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7082,3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8191,6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12052,1</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предыдущему году</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116,2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7145,8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7916,6</w:t>
            </w:r>
          </w:p>
        </w:tc>
      </w:tr>
      <w:tr>
        <w:tc>
          <w:tcPr>
            <w:tcW w:type="dxa" w:w="4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20878,1</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23321,9</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23784,0</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22701,2</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19973,8</w:t>
            </w:r>
          </w:p>
        </w:tc>
      </w:tr>
      <w:tr>
        <w:tc>
          <w:tcPr>
            <w:tcW w:type="dxa" w:w="10180"/>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к ВВП)</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-0,6</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Использование средств ЦФСБ</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3,7</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2,4</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r>
      <w:tr>
        <w:tc>
          <w:tcPr>
            <w:tcW w:type="dxa" w:w="4783"/>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1333"/>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1016"/>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r>
      <w:tr>
        <w:tc>
          <w:tcPr>
            <w:tcW w:type="dxa" w:w="478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r>
    </w:tbl>
    <w:p>
      <w:pPr>
        <w:spacing w:after="240" w:before="240"/>
        <w:ind w:firstLine="567"/>
        <w:jc w:val="left"/>
      </w:pPr>
      <w:r>
        <w:rPr>
          <w:rFonts w:ascii="Arial" w:cs="Arial" w:eastAsia="Arial" w:hAnsi="Arial"/>
          <w:b/>
          <w:bCs/>
          <w:sz w:val="24"/>
          <w:szCs w:val="24"/>
        </w:rPr>
        <w:t xml:space="preserve">Таблица 5. Ресурсы и расходы ОНФП</w:t>
      </w:r>
    </w:p>
    <w:p>
      <w:pPr>
        <w:spacing w:after="60"/>
        <w:ind w:firstLine="567"/>
        <w:jc w:val="right"/>
      </w:pPr>
      <w:r>
        <w:rPr>
          <w:rFonts w:ascii="Arial" w:cs="Arial" w:eastAsia="Arial" w:hAnsi="Arial"/>
          <w:sz w:val="24"/>
          <w:szCs w:val="24"/>
        </w:rPr>
        <w:t xml:space="preserve">(млн.сомов)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998"/>
        <w:gridCol w:w="1005"/>
        <w:gridCol w:w="794"/>
        <w:gridCol w:w="794"/>
        <w:gridCol w:w="794"/>
        <w:gridCol w:w="794"/>
      </w:tblGrid>
      <w:tr>
        <w:tc>
          <w:tcPr>
            <w:tcW w:type="dxa" w:w="599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пред. факт</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утвер.</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прогноз</w:t>
            </w:r>
          </w:p>
        </w:tc>
        <w:tc>
          <w:tcPr>
            <w:tcW w:type="dxa" w:w="7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
 прогноз</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151447,7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164254,4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175473,8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177245,6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176972,2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130569,6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140932,5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151689,8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154544,4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156998,3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107,6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101,6</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120692,5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127996,6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137782,6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143308,4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149478,4</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93810,0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105294,1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114779,1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120663,8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126619,9</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26882,5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22702,5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23003,5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22644,6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22858,5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 вкл. ГИ</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9877,1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12935,9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13907,2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11236,0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7519,9</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20878,1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23321,9</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23784,0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22701,2</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19973,8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Внутреннее финансирование</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1694,3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-3695,4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-1375,0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-6020,2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-3743,5</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Внешнее финансирование</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19183,8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27017,3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25159,0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21575,6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15800,8</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дополнительная потребность</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7145,8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7916,6</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151447,7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164254,4</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175473,8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177245,6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176972,2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151447,7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164254,4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175473,8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177245,6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176972,2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106,8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99,8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129129,4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134123,3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138862,5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140529,1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142392,3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119,8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22318,3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30131,2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36611,3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36716,5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34579,9</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83,6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121,5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94,2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Государственные инвестиции (ГИ)</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13816,3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26731,2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33111,3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33116,5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30879,9</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13317,3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25377,7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31395,7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31562,1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29319,8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499,0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1353,5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1715,7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1560,0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9001,0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4753,5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5215,7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5154,4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5260,0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 к пред. году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52,8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102,0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w:t>
            </w:r>
          </w:p>
          <w:p>
            <w:pPr>
              <w:jc w:val="left"/>
            </w:pPr>
            <w:r>
              <w:rPr>
                <w:rFonts w:ascii="Arial" w:cs="Arial" w:eastAsia="Arial" w:hAnsi="Arial"/>
                <w:sz w:val="24"/>
                <w:szCs w:val="24"/>
              </w:rPr>
              <w:t xml:space="preserve">Капитальные вложения из республиканского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8147,4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2900,0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3000,0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5151,7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6227,3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6811,7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7520,8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7673,7</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3357,0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4040,6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4245,1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4742,7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5169,3</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1794,7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2186,7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2566,6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2778,1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2504,4</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12532,0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9632,5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11366,5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11238,3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11338,8</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 без учета СФ</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111445,7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118263,5</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120684,3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121770,0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123379,8</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120,8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101,3</w:t>
            </w: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 % ВВП)</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Общие доходы и полученные офиц. трансферты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4,7</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3,8</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Дополнительная потребность</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33,1</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33,2</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32,6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30,0</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32,6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28,2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6,2</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т.ч.</w:t>
            </w:r>
          </w:p>
          <w:p>
            <w:pPr>
              <w:jc w:val="left"/>
            </w:pPr>
            <w:r>
              <w:rPr>
                <w:rFonts w:ascii="Arial" w:cs="Arial" w:eastAsia="Arial" w:hAnsi="Arial"/>
                <w:sz w:val="24"/>
                <w:szCs w:val="24"/>
              </w:rPr>
              <w:t xml:space="preserve">Капитальные вложения из республиканского бюджета</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0,5</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r>
      <w:tr>
        <w:tc>
          <w:tcPr>
            <w:tcW w:type="dxa" w:w="5998"/>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10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7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r>
      <w:tr>
        <w:tc>
          <w:tcPr>
            <w:tcW w:type="dxa" w:w="5998"/>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100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24,3</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23,9</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22,4</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20,6</w:t>
            </w:r>
          </w:p>
        </w:tc>
        <w:tc>
          <w:tcPr>
            <w:tcW w:type="dxa" w:w="7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19,0</w:t>
            </w:r>
          </w:p>
        </w:tc>
      </w:tr>
    </w:tbl>
    <w:p>
      <w:pPr>
        <w:spacing w:after="240" w:before="240"/>
        <w:ind w:firstLine="567"/>
        <w:jc w:val="left"/>
      </w:pPr>
      <w:r>
        <w:rPr>
          <w:rFonts w:ascii="Arial" w:cs="Arial" w:eastAsia="Arial" w:hAnsi="Arial"/>
          <w:b/>
          <w:bCs/>
          <w:sz w:val="24"/>
          <w:szCs w:val="24"/>
        </w:rPr>
        <w:t xml:space="preserve">Таблица 6. Прогноз расходов государственного бюджета Кыргызской Республики на 2016-2020 гг. по секторам</w:t>
      </w:r>
    </w:p>
    <w:p>
      <w:pPr>
        <w:spacing w:after="60"/>
        <w:ind w:firstLine="567"/>
        <w:jc w:val="both"/>
      </w:pPr>
      <w:r>
        <w:rPr>
          <w:rFonts w:ascii="Arial" w:cs="Arial" w:eastAsia="Arial" w:hAnsi="Arial"/>
          <w:i/>
          <w:iCs/>
          <w:sz w:val="24"/>
          <w:szCs w:val="24"/>
        </w:rPr>
        <w:t xml:space="preserve">См. графическую копию таблицы 6.</w:t>
      </w:r>
    </w:p>
    <w:p>
      <w:pPr>
        <w:spacing w:after="240" w:before="240"/>
        <w:ind w:firstLine="567"/>
        <w:jc w:val="left"/>
      </w:pPr>
      <w:r>
        <w:rPr>
          <w:rFonts w:ascii="Arial" w:cs="Arial" w:eastAsia="Arial" w:hAnsi="Arial"/>
          <w:b/>
          <w:bCs/>
          <w:sz w:val="24"/>
          <w:szCs w:val="24"/>
        </w:rPr>
        <w:t xml:space="preserve">Таблица 7. Контрольные цифры по административным ведомствам на 2018-2020 годы (без учета спец.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5422"/>
        <w:gridCol w:w="855"/>
        <w:gridCol w:w="596"/>
        <w:gridCol w:w="855"/>
        <w:gridCol w:w="596"/>
        <w:gridCol w:w="855"/>
        <w:gridCol w:w="596"/>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5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2017</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2018</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2020</w:t>
            </w:r>
          </w:p>
        </w:tc>
        <w:tc>
          <w:tcPr>
            <w:tcW w:type="dxa" w:w="5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 2019</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Жогорку Кенеш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786617,6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797449,7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800507,4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Президента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168112,3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168928,9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169482,4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Архив Президента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5509,7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5542,3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236730,7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237952,9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238781,4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100,3</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 Президента и Правительства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443282,5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446872,3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448924,9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Верховный суд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1622572,3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1810452,5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1952672,0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Счетная палата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254719,6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256225,5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257246,4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Центральная комиссия по выборам и проведению референдумов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181743,7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182818,2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183546,6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Генеральная прокуратура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586084,5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589521,1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591869,9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Военная прокуратура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23743,0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23883,4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23978,5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Омбудсмена (Акыйкатчы)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31603,7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31790,5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31917,2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юстиции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138132,1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138948,7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139502,3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иностранных дел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1388879,2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1397090,4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1402656,8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Резервные и другие фонды территорий</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209404,0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473431,2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476230,2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478127,6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КР (государственные программы, мероприятия и выплаты)</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21324474,2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19773109,3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19154890,1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96,9</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информационных технологий</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3018,4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3030,4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экономики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431645,7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434235,5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435972,5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исполнения наказаний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1187755,1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1194777,2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1199537,5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образования и науки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20686335,5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20808769,1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20891766,5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интеллектуальной собственности и инновации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118355,4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119055,1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119529,5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обязательного медицинского страхования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9375314,4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9430742,3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9468317,0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здравоохранения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2468660,8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2483137,7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2492951,5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труда и социального развития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9025269,3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9078628,0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9114799,7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Академия государственного управления при Президенте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13696,1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13353,4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12694,4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95,1</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Общественное объединение "Республиканский Совет ветеранов войны, Вооруженных Сил, правоохранительных органов и тружеников тыла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739,4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сельского хозяйства, мелиорации и пищевой промышленности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1711553,4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1721672,3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1728531,9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транспорта и дорог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2382819,6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2401618,2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2411186,8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культуры, информации и туризма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1688759,7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1698743,9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1705512,1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1870184,1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1881240,9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1888736,3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Центрально-Азиатский институт прикладных исследований Земли</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37924,0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38148,2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38300,2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налоговая служба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871480,2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876632,5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880125,3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таможенная служба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571867,9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575248,8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577540,8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Центральное правление "Кыргызского общества слепых и глухих"</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39610,0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39844,2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40003,0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комиссия по государственному языку при Президенте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30403,5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30583,3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30887,6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31010,7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охраны окружающей среды и лесного хозяйства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661644,6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665556,3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668208,1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регистрационная служба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491504,3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494410,1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496380,0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экологической и технической безопасности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239924,8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105,7</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228460,8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229371,1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промышленности, энергетики и недропользования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1508164,6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1517081,1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1523125,5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делам молодежи, физической культуры и спорта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731526,8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735718,6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738560,2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управлению бюджетными кредитами</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92666,4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93214,3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93585,7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регулирования и надзора за финансовым рынком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2211З,7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22244,4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кадровая служба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60899,6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61259,7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61503,7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187280,3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188387,5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189138,1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по борьбе с экономическими преступлениями при ПКР (Финансовая Полиция)</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149679,7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150564,6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151164,5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инспекция по ветеринарной и фитосанитарной безопасности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538938,9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542125,2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544285,2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комитет информационных технологий и связи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239985,7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241404,5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242366,4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комиссия по делам религий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25905,9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26059,1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26162,9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 судебного представительства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11402,5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11469,9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11515,6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Национальной комиссии КР по делам ЮНЕСКО</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1045,0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1051,2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институт стратегических исследований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15133,2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15193,5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финансовой разведки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27203,1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27363,9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27473,0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63803,6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64180,8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64436,5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служба миграции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65617,4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66005,3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66268,3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статистический комитет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221182,9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222490,5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223377,0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по управлению государственным имуществом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62277,3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62645,5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62895,1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76</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государственных материальных резервов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290314,0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292030,4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293193,9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77</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Высшая аттестационная комиссия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5528,8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5561,5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5583,7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Секретариат Совета обороны при Президенте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18147,8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18255,1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18327,8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80</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Национальная академия наук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292469,2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294198,3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295370,5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Клиническая больница УД Президента и Правительства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142614,3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143857,7</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144700,6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Национальный центр КР по предупреждению пыток и др. жестоких, бесчеловечных или унижающих достоинство видов обращения и наказания</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12467,8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12541,6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12591,5</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по регулированию топливно-энергетического комплекса при ПКР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20679,2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20801,4</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20884,3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Редакции журналов и газет</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481,3</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484,2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Телерадиовещательные компании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602638,8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100,0</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606201,6</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100,6</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608616,9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100,4</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88</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Социальный фонд КР</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19284358,0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110,1</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20351420,0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105,5</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21499852,0</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105,6</w:t>
            </w:r>
          </w:p>
        </w:tc>
      </w:tr>
    </w:tbl>
    <w:p>
      <w:pPr>
        <w:spacing w:after="240" w:before="240"/>
        <w:ind w:firstLine="567"/>
        <w:jc w:val="left"/>
      </w:pPr>
      <w:r>
        <w:rPr>
          <w:rFonts w:ascii="Arial" w:cs="Arial" w:eastAsia="Arial" w:hAnsi="Arial"/>
          <w:b/>
          <w:bCs/>
          <w:sz w:val="24"/>
          <w:szCs w:val="24"/>
        </w:rPr>
        <w:t xml:space="preserve">Таблица 8. Ключевые макроэкономические показатели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1"/>
        <w:gridCol w:w="1010"/>
        <w:gridCol w:w="1010"/>
        <w:gridCol w:w="1010"/>
        <w:gridCol w:w="1010"/>
        <w:gridCol w:w="974"/>
        <w:gridCol w:w="974"/>
      </w:tblGrid>
      <w:tr>
        <w:tc>
          <w:tcPr>
            <w:tcW w:type="dxa" w:w="41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20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9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4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w:t>
            </w:r>
          </w:p>
        </w:tc>
      </w:tr>
      <w:tr>
        <w:tc>
          <w:tcPr>
            <w:tcW w:type="dxa" w:w="41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Номинальный ВВП (млн. сом)</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544804,1</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618710,0</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511067,5</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567627,5</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91,7</w:t>
            </w:r>
          </w:p>
        </w:tc>
      </w:tr>
      <w:tr>
        <w:tc>
          <w:tcPr>
            <w:tcW w:type="dxa" w:w="41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Инфляция (ИПЦ к декабрю пред. года) (%)</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8,0</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5,5</w:t>
            </w:r>
          </w:p>
        </w:tc>
        <w:tc>
          <w:tcPr>
            <w:tcW w:type="dxa" w:w="101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68,8</w:t>
            </w:r>
          </w:p>
        </w:tc>
        <w:tc>
          <w:tcPr>
            <w:tcW w:type="dxa" w:w="9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w:t>
            </w:r>
          </w:p>
        </w:tc>
      </w:tr>
      <w:tr>
        <w:tc>
          <w:tcPr>
            <w:tcW w:type="dxa" w:w="4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Обменный курс сом/USD</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72,5</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76,1</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78,7</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108,6</w:t>
            </w:r>
          </w:p>
        </w:tc>
        <w:tc>
          <w:tcPr>
            <w:tcW w:type="dxa" w:w="9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107,9</w:t>
            </w:r>
          </w:p>
        </w:tc>
      </w:tr>
    </w:tbl>
    <w:p>
      <w:pPr>
        <w:spacing w:after="240" w:before="240"/>
        <w:ind w:firstLine="567"/>
        <w:jc w:val="left"/>
      </w:pPr>
      <w:r>
        <w:rPr>
          <w:rFonts w:ascii="Arial" w:cs="Arial" w:eastAsia="Arial" w:hAnsi="Arial"/>
          <w:b/>
          <w:bCs/>
          <w:sz w:val="24"/>
          <w:szCs w:val="24"/>
        </w:rPr>
        <w:t xml:space="preserve">Таблица 9. Показатели внутренних доходов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91"/>
        <w:gridCol w:w="981"/>
        <w:gridCol w:w="981"/>
        <w:gridCol w:w="981"/>
        <w:gridCol w:w="981"/>
        <w:gridCol w:w="981"/>
        <w:gridCol w:w="981"/>
      </w:tblGrid>
      <w:tr>
        <w:tc>
          <w:tcPr>
            <w:tcW w:type="dxa" w:w="42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Всего доходов и грантов</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26,0</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99,3</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96,6</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Всего доходов</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Налоговые поступления</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22,0</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20,0</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91,2</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91,0</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Неналоговые поступления</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145,8</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136,4</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Специальные средства</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149,1</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 без спецсредств</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115,1</w:t>
            </w:r>
          </w:p>
        </w:tc>
      </w:tr>
      <w:tr>
        <w:tc>
          <w:tcPr>
            <w:tcW w:type="dxa" w:w="4291"/>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Официальные трансферты</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2,3</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1,5</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120,2</w:t>
            </w:r>
          </w:p>
        </w:tc>
        <w:tc>
          <w:tcPr>
            <w:tcW w:type="dxa" w:w="981"/>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112,3</w:t>
            </w:r>
          </w:p>
        </w:tc>
      </w:tr>
      <w:tr>
        <w:tc>
          <w:tcPr>
            <w:tcW w:type="dxa" w:w="4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гранты ГИ</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118,7</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107,3</w:t>
            </w:r>
          </w:p>
        </w:tc>
      </w:tr>
    </w:tbl>
    <w:p>
      <w:pPr>
        <w:spacing w:after="240" w:before="240"/>
        <w:ind w:firstLine="567"/>
        <w:jc w:val="left"/>
      </w:pPr>
      <w:r>
        <w:rPr>
          <w:rFonts w:ascii="Arial" w:cs="Arial" w:eastAsia="Arial" w:hAnsi="Arial"/>
          <w:b/>
          <w:bCs/>
          <w:sz w:val="24"/>
          <w:szCs w:val="24"/>
        </w:rPr>
        <w:t xml:space="preserve">Таблица 10. Финансирование дефицита бюджета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75"/>
        <w:gridCol w:w="950"/>
        <w:gridCol w:w="950"/>
        <w:gridCol w:w="950"/>
        <w:gridCol w:w="950"/>
        <w:gridCol w:w="950"/>
        <w:gridCol w:w="950"/>
      </w:tblGrid>
      <w:tr>
        <w:tc>
          <w:tcPr>
            <w:tcW w:type="dxa" w:w="447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1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90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в %</w:t>
            </w:r>
          </w:p>
        </w:tc>
      </w:tr>
      <w:tr>
        <w:tc>
          <w:tcPr>
            <w:vMerge w:val="continue"/>
            <w:tcBorders>
              <w:top w:val="single" w:color="CBBF9E" w:sz="4"/>
              <w:left w:val="single" w:color="CBBF9E" w:sz="4"/>
              <w:bottom w:val="single" w:color="CBBF9E" w:sz="4"/>
              <w:right w:val="single" w:color="CBBF9E" w:sz="4"/>
            </w:tcBorders>
          </w:tcP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Внутреннее финансирование(1)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83,1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85,1</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из внутренних источников</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Поступление от ГЦБ</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117,8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120,2</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Использование средств ЦФСБ</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остатки на счетах ПКР</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109,0</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приватизация</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покупка фин. активов</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бюджетные ссуды</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87,7</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внутреннего долга</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109,0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122,6</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Внешнее финансирование</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5,7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93,9</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Внешние источники (ГИ)</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5,3</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93,0</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Поддержка платежного баланса</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0,8</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Погашение основной суммы внешнего долга</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95,9</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101,2</w:t>
            </w:r>
          </w:p>
        </w:tc>
      </w:tr>
      <w:tr>
        <w:tc>
          <w:tcPr>
            <w:tcW w:type="dxa" w:w="4475"/>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Потребность в дополнительных ресурсах</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0,0</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1,6</w:t>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9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447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141,7</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333,3</w:t>
            </w:r>
          </w:p>
        </w:tc>
      </w:tr>
    </w:tbl>
    <w:p>
      <w:pPr>
        <w:spacing w:after="240" w:before="240"/>
        <w:ind w:firstLine="567"/>
        <w:jc w:val="left"/>
      </w:pPr>
      <w:r>
        <w:rPr>
          <w:rFonts w:ascii="Arial" w:cs="Arial" w:eastAsia="Arial" w:hAnsi="Arial"/>
          <w:b/>
          <w:bCs/>
          <w:sz w:val="24"/>
          <w:szCs w:val="24"/>
        </w:rPr>
        <w:t xml:space="preserve">Таблица 11. Консолидированная структура расходов СПБ (сравнительная)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67"/>
        <w:gridCol w:w="818"/>
        <w:gridCol w:w="818"/>
        <w:gridCol w:w="818"/>
        <w:gridCol w:w="818"/>
        <w:gridCol w:w="818"/>
        <w:gridCol w:w="818"/>
      </w:tblGrid>
      <w:tr>
        <w:tc>
          <w:tcPr>
            <w:tcW w:type="dxa" w:w="526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2016-2018 гг.</w:t>
            </w:r>
          </w:p>
        </w:tc>
        <w:tc>
          <w:tcPr>
            <w:tcW w:type="dxa" w:w="16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СПБ 2017-2019 гг.</w:t>
            </w:r>
          </w:p>
        </w:tc>
        <w:tc>
          <w:tcPr>
            <w:tcW w:type="dxa" w:w="16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Отклонение, %</w:t>
            </w:r>
          </w:p>
        </w:tc>
      </w:tr>
      <w:tr>
        <w:tc>
          <w:tcPr>
            <w:vMerge w:val="continue"/>
            <w:tcBorders>
              <w:top w:val="single" w:color="CBBF9E" w:sz="4"/>
              <w:left w:val="single" w:color="CBBF9E" w:sz="4"/>
              <w:bottom w:val="single" w:color="CBBF9E" w:sz="4"/>
              <w:right w:val="single" w:color="CBBF9E" w:sz="4"/>
            </w:tcBorders>
          </w:tcP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прогноз</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прогноз</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Ресурсы государственного бюджета</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103,5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доходы и полученные офиц. трансферты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26,0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25,1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99,3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96,6</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доходы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95,7</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Налоговые поступления</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22,0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91,0</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Неналоговые поступления</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145,8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136,4</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Полученные официальные трансферты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112,3</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Финансирование</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4,1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141,7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333,3</w:t>
            </w:r>
          </w:p>
        </w:tc>
      </w:tr>
      <w:tr>
        <w:tc>
          <w:tcPr>
            <w:tcW w:type="dxa" w:w="52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Ресурсы госбюджета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30,7</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27,2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31,8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29,2</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107,2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b/>
                <w:bCs/>
                <w:sz w:val="24"/>
                <w:szCs w:val="24"/>
              </w:rPr>
              <w:t xml:space="preserve">Общие расходы государственного бюджета</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27,2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31,8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29,2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103,5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b/>
                <w:bCs/>
                <w:sz w:val="24"/>
                <w:szCs w:val="24"/>
              </w:rPr>
              <w:t xml:space="preserve">107,2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Текущие расходы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23,1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105,3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108,2</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7,4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98,1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103,7</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ГИ за счет внешних источников финансирования (с учетом грантов)</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5,4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4,2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90,8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97,6</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внутреннее софинансирование</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0,2</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162,9</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Капитальные расходы из внутренних источников</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124,5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120,6</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Выплата процентов по госдолгу</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1,1</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125,9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132,3</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внешнему долгу</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0,7</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123,9</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131,4</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проценты по внутреннему долгу</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0,3</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130,5</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134,4</w:t>
            </w:r>
          </w:p>
        </w:tc>
      </w:tr>
      <w:tr>
        <w:tc>
          <w:tcPr>
            <w:tcW w:type="dxa" w:w="5267"/>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Расходы по специальным средствам</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1,8</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2,4</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143,6</w:t>
            </w:r>
          </w:p>
        </w:tc>
        <w:tc>
          <w:tcPr>
            <w:tcW w:type="dxa" w:w="8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149,1</w:t>
            </w:r>
          </w:p>
        </w:tc>
      </w:tr>
      <w:tr>
        <w:tc>
          <w:tcPr>
            <w:tcW w:type="dxa" w:w="5267"/>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Дискреционные текущие расходы государственного бюджета</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20,3</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18,8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20,4</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19,4</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100,8</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103,5</w:t>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__ei3jemgdd1lk5eq6z2">
      <w:r>
        <w:rPr>
          <w:rFonts w:ascii="Arial" w:cs="Arial" w:eastAsia="Arial" w:hAnsi="Arial"/>
          <w:color w:val="132D3F"/>
          <w:sz w:val="16"/>
          <w:szCs w:val="16"/>
          <w:u w:val="single"/>
        </w:rPr>
        <w:t xml:space="preserve">dalil.kg/document/100247</w:t>
      </w:r>
    </w:hyperlink>
  </w:p>
  <w:p>
    <w:pPr>
      <w:spacing w:after="0" w:before="40"/>
      <w:jc w:val="center"/>
    </w:pPr>
    <w:hyperlink w:history="1" r:id="rIdxgk1mcjn5knzatfgcuad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mqugpsnyao5oalybkauh" Type="http://schemas.openxmlformats.org/officeDocument/2006/relationships/hyperlink" Target="https://dalil.kg/document/12339" TargetMode="External"/><Relationship Id="rIdxtyfin8rh95dnpcigcvx8" Type="http://schemas.openxmlformats.org/officeDocument/2006/relationships/hyperlink" Target="https://dalil.kg/document/100246" TargetMode="External"/><Relationship Id="rIdbdjy9s4uwqfzgyubjmyg5" Type="http://schemas.openxmlformats.org/officeDocument/2006/relationships/hyperlink" Target="https://dalil.kg/document/111338" TargetMode="External"/><Relationship Id="rIdpffp9o9gwqcpginhrldb8" Type="http://schemas.openxmlformats.org/officeDocument/2006/relationships/hyperlink" Target="https://dalil.kg/document/111338" TargetMode="External"/><Relationship Id="rId6r8fru8relpv6y9e7cdsa" Type="http://schemas.openxmlformats.org/officeDocument/2006/relationships/hyperlink" Target="https://dalil.kg/document/77038" TargetMode="External"/><Relationship Id="rId_wq5h8lxe-zcez_f3thoe" Type="http://schemas.openxmlformats.org/officeDocument/2006/relationships/hyperlink" Target="https://dalil.kg/document/98559#&#1088;1" TargetMode="External"/><Relationship Id="rIdluqjs8cuwqdg9ebsdsrbk" Type="http://schemas.openxmlformats.org/officeDocument/2006/relationships/hyperlink" Target="https://dalil.kg/document/98431" TargetMode="External"/><Relationship Id="rIdykr5efydgz6jnymushlhf" Type="http://schemas.openxmlformats.org/officeDocument/2006/relationships/hyperlink" Target="https://dalil.kg/document/97820#&#1088;1" TargetMode="External"/><Relationship Id="rIdmz1zcg6h9qc4bv_dqeept" Type="http://schemas.openxmlformats.org/officeDocument/2006/relationships/hyperlink" Target="https://dalil.kg/document/97820" TargetMode="External"/><Relationship Id="rIdq6_6dvlrncudvpgi38m82" Type="http://schemas.openxmlformats.org/officeDocument/2006/relationships/hyperlink" Target="https://dalil.kg/document/97820#&#1088;1" TargetMode="External"/><Relationship Id="rId182fwlzqvwpxy8siffwqc" Type="http://schemas.openxmlformats.org/officeDocument/2006/relationships/hyperlink" Target="https://dalil.kg/document/1323" TargetMode="External"/><Relationship Id="rIdgnffazfqapdpymf2svcnr" Type="http://schemas.openxmlformats.org/officeDocument/2006/relationships/hyperlink" Target="https://dalil.kg/document/98163" TargetMode="External"/><Relationship Id="rIdf6shldggrzrht-wys4krh" Type="http://schemas.openxmlformats.org/officeDocument/2006/relationships/hyperlink" Target="https://dalil.kg/document/98511" TargetMode="External"/><Relationship Id="rIdd8uxleinkodr4aimcso6o" Type="http://schemas.openxmlformats.org/officeDocument/2006/relationships/hyperlink" Target="https://dalil.kg/document/98725" TargetMode="External"/><Relationship Id="rIdztbihjzp0a6kegyeggu91" Type="http://schemas.openxmlformats.org/officeDocument/2006/relationships/hyperlink" Target="https://dalil.kg/document/98725#&#1088;1" TargetMode="External"/><Relationship Id="rIdjh9lihc4w0rlcibxqxbmh" Type="http://schemas.openxmlformats.org/officeDocument/2006/relationships/hyperlink" Target="https://dalil.kg/document/111338" TargetMode="External"/><Relationship Id="rIdim8yc95ffepxjh7bdcb11" Type="http://schemas.openxmlformats.org/officeDocument/2006/relationships/hyperlink" Target="https://dalil.kg/document/61542" TargetMode="External"/><Relationship Id="rIdrjanruydgdxdnzu3j_v-k" Type="http://schemas.openxmlformats.org/officeDocument/2006/relationships/hyperlink" Target="https://dalil.kg/document/61542" TargetMode="External"/><Relationship Id="rIdkdxybll0_w0cm-zxjswlx" Type="http://schemas.openxmlformats.org/officeDocument/2006/relationships/hyperlink" Target="https://dalil.kg/document/61542" TargetMode="External"/><Relationship Id="rIds3gehuotgjmzwdlx-slbn" Type="http://schemas.openxmlformats.org/officeDocument/2006/relationships/hyperlink" Target="https://dalil.kg/document/92984" TargetMode="External"/><Relationship Id="rIdreofqt_gx54bcsze4pcee" Type="http://schemas.openxmlformats.org/officeDocument/2006/relationships/hyperlink" Target="https://dalil.kg/document/98725" TargetMode="External"/><Relationship Id="rIdvqganiamhdou2ehq__xpi" Type="http://schemas.openxmlformats.org/officeDocument/2006/relationships/hyperlink" Target="https://dalil.kg/document/111276" TargetMode="External"/><Relationship Id="rIdzz0n1zrjxmkib8tk5d_dz" Type="http://schemas.openxmlformats.org/officeDocument/2006/relationships/hyperlink" Target="https://dalil.kg/document/205397" TargetMode="External"/><Relationship Id="rIdlshewzyuvwqrzn7qqjwl7" Type="http://schemas.openxmlformats.org/officeDocument/2006/relationships/hyperlink" Target="https://dalil.kg/document/111495" TargetMode="External"/><Relationship Id="rIdtg4unqysst9bgz2lel6-t" Type="http://schemas.openxmlformats.org/officeDocument/2006/relationships/hyperlink" Target="https://dalil.kg/document/111277" TargetMode="External"/><Relationship Id="rIdokhf7pg9vtdkmc6nu1zan" Type="http://schemas.openxmlformats.org/officeDocument/2006/relationships/hyperlink" Target="https://dalil.kg/document/203781" TargetMode="External"/><Relationship Id="rIdk7jef-r62pqueisn9ojiu" Type="http://schemas.openxmlformats.org/officeDocument/2006/relationships/hyperlink" Target="https://dalil.kg/document/203781" TargetMode="External"/><Relationship Id="rId-kc3k9jugtcvtfmqfpaom" Type="http://schemas.openxmlformats.org/officeDocument/2006/relationships/hyperlink" Target="https://dalil.kg/document/99087" TargetMode="External"/><Relationship Id="rIdy6oz4dsmecson1kaubgsd" Type="http://schemas.openxmlformats.org/officeDocument/2006/relationships/hyperlink" Target="https://dalil.kg/document/99086" TargetMode="External"/><Relationship Id="rId3ak2qaq7tqbi-ese9jhee" Type="http://schemas.openxmlformats.org/officeDocument/2006/relationships/hyperlink" Target="https://dalil.kg/document/97601" TargetMode="External"/><Relationship Id="rIdmtsylwv_7mx5z6jarer8c" Type="http://schemas.openxmlformats.org/officeDocument/2006/relationships/hyperlink" Target="https://dalil.kg/document/97602" TargetMode="External"/><Relationship Id="rIdueng8gu4yaxgfrtcfmp4o" Type="http://schemas.openxmlformats.org/officeDocument/2006/relationships/hyperlink" Target="https://dalil.kg/document/97603" TargetMode="External"/><Relationship Id="rIdhpxbqggw8osvbv-ppre3n" Type="http://schemas.openxmlformats.org/officeDocument/2006/relationships/hyperlink" Target="https://dalil.kg/document/94759" TargetMode="External"/><Relationship Id="rIdwm57huovvcowwysa2sad7" Type="http://schemas.openxmlformats.org/officeDocument/2006/relationships/hyperlink" Target="https://dalil.kg/document/111338" TargetMode="External"/><Relationship Id="rId8" Type="http://schemas.openxmlformats.org/officeDocument/2006/relationships/image" Target="media/8de64316e95979c063c17bcd5380dc052a2594e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__ei3jemgdd1lk5eq6z2" Type="http://schemas.openxmlformats.org/officeDocument/2006/relationships/hyperlink" Target="https://dalil.kg/document/100247" TargetMode="External"/><Relationship Id="rIdxgk1mcjn5knzatfgcuad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2026-09-24T23:03:08.863Z</dcterms:created>
  <dcterms:modified xsi:type="dcterms:W3CDTF">2026-09-24T23:03:08.863Z</dcterms:modified>
</cp:coreProperties>
</file>

<file path=docProps/custom.xml><?xml version="1.0" encoding="utf-8"?>
<Properties xmlns="http://schemas.openxmlformats.org/officeDocument/2006/custom-properties" xmlns:vt="http://schemas.openxmlformats.org/officeDocument/2006/docPropsVTypes"/>
</file>