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hyperlink w:history="1" r:id="rIdr3uaon99i4o-sibijdz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2017 года № 673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Правительства Кыргызской Республики "Развитие ветеринарной службы Кыргызской Республики на 2018-2023 годы"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Правительства Кыргызской Республики "Развитие ветеринарной службы Кыргызской Республики на 2018-2023 годы" (далее - Программа) определяет приоритеты и ключевые условия совершенствования ветеринарной службы Кыргызской Республики на перспективу во взаимосвязи с долгосрочными целями и задачами.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стратегическими ориентирами ветеринарной службы Кыргызской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и безопасности производства пищевой продукции животного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экспортного потенциала Кыргызской Республики и охрана здоровья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ветеринарного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разработана в соответствии с приоритетными направлениями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- кырк кадам" и Отчетом миссии МЭБ по оценке состояния ветеринарной службы Кыргызской Республики за период с 2007 по 2016 годов (далее - ветеринарная служба), а также рекомендаций по ее совершенствованию.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направления развития ветеринарной службы вытекают из обязательств, принятых в рамках ее членства в международных организациях, призванных обеспечить благополучие территорий стран-членов, защиты здоровья человека и животных, сохранение биоразнообразия и экологического равновесия в мире.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Фактором, определяющим приоритеты развития ветеринарной службы, является вступление Кыргызской Республики в Евразийский экономический союз (далее -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ЕАЭС ветеринарная служба осуществляет необходимую работу по внедрению механизмов и стандартов ЕАЭС для обеспечения пищевой безопасности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Анализ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ветеринарии Кыргызской Республики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государственные администрации в рамках своей компетенции и органы местного самоуправления в рамках делегированных государственных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ветеринарный статуарный орган Кыргызской Республики (Ветеринарная палата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занимающиеся ветеринарной предпринимательской деятельностью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эпизоотического благополучия в 2017 году для приобретения биопрепаратов в республиканском бюджете предусмотрено 131 млн. сомов. Эти средства направляются на закупку вакцин и диагностикумов против 9 болезней животных (ящур, чума мелкого рогатого скота, оспа овец и коз, бруцеллез, сибирская язва, бешенство, эхинококкоз, туберкулез, сап лошадей). Часть средств направляется на обеспечение лабораторными диагностикумами, реактивами и тестами.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Осуществляется закупка качественных и высокоэффективных ветеринарных препаратов, подтвержденных сертификатами соответствия референс-лабораторий МЭБ.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Закупка биопрепаратов (2015-2016 гг.)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5"/>
        <w:gridCol w:w="5246"/>
        <w:gridCol w:w="1468"/>
        <w:gridCol w:w="1355"/>
        <w:gridCol w:w="1355"/>
      </w:tblGrid>
      <w:tr>
        <w:tc>
          <w:tcPr>
            <w:tcW w:type="dxa" w:w="7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биопрепаратов</w:t>
            </w:r>
          </w:p>
        </w:tc>
        <w:tc>
          <w:tcPr>
            <w:tcW w:type="dxa" w:w="14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271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г.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г.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ящура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доз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4559,0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Вакцина, против сибирской язвы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доз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4501,0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оспы овец и коз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доз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7008,0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чумы МРС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доз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бешенства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доз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Туберкулин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доз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Маллеин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доз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бруцеллеза МРС (REV 1)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доз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для дегельминтизации собак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табл.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сумму (млн. сом)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45,9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Многие годы территория Кыргызской Республики являлась эндемичной по многим особо опасным и остро заразным болезням животных, таких, как ящур, оспа овец, бруцеллез, эхинококкоз и другие. За последние 2 года достигнуты положительные сдвиги и конкретные результаты по оздоровлению неблагополучных животных по бруцеллезу. В результате проведенной эффективной вакцинации с применением новой вакцины REV-1 заболеваемость бруцеллезом среди мелкого рогатого скота сокращена в 25 раз, среди крупного рогатого скота - в 2 раза, а среди людей почти - в 5 раз. По итогам успешной дегельминтизации собак с проведением их регистрации и идентификации наблюдается значительное сокращение заболеваемости животных и людей эхинококкозом. Трансграничные болезни, отрицательно влияющие на международную торговлю, такие, как ящур, оспа овец и чума мелкого рогатого скота, за последние 2 года не зарегистрированы.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Эпизоотическая ситуация на территории Кыргызской Республики (2010-2016 гг.)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6"/>
        <w:gridCol w:w="983"/>
        <w:gridCol w:w="3704"/>
        <w:gridCol w:w="4884"/>
      </w:tblGrid>
      <w:tr>
        <w:tc>
          <w:tcPr>
            <w:tcW w:type="dxa" w:w="6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Годы</w:t>
            </w:r>
          </w:p>
        </w:tc>
        <w:tc>
          <w:tcPr>
            <w:tcW w:type="dxa" w:w="3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Неблагополучные пункты</w:t>
            </w:r>
          </w:p>
        </w:tc>
        <w:tc>
          <w:tcPr>
            <w:tcW w:type="dxa" w:w="4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заболевших животных</w:t>
            </w:r>
          </w:p>
        </w:tc>
      </w:tr>
      <w:tr>
        <w:tc>
          <w:tcPr>
            <w:tcW w:type="dxa" w:w="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3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8222</w:t>
            </w:r>
          </w:p>
        </w:tc>
      </w:tr>
      <w:tr>
        <w:tc>
          <w:tcPr>
            <w:tcW w:type="dxa" w:w="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3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4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12848</w:t>
            </w:r>
          </w:p>
        </w:tc>
      </w:tr>
      <w:tr>
        <w:tc>
          <w:tcPr>
            <w:tcW w:type="dxa" w:w="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3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4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6014</w:t>
            </w:r>
          </w:p>
        </w:tc>
      </w:tr>
      <w:tr>
        <w:tc>
          <w:tcPr>
            <w:tcW w:type="dxa" w:w="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3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4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3242</w:t>
            </w:r>
          </w:p>
        </w:tc>
      </w:tr>
      <w:tr>
        <w:tc>
          <w:tcPr>
            <w:tcW w:type="dxa" w:w="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3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4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4187</w:t>
            </w:r>
          </w:p>
        </w:tc>
      </w:tr>
      <w:tr>
        <w:tc>
          <w:tcPr>
            <w:tcW w:type="dxa" w:w="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3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4074</w:t>
            </w:r>
          </w:p>
        </w:tc>
      </w:tr>
      <w:tr>
        <w:tc>
          <w:tcPr>
            <w:tcW w:type="dxa" w:w="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3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4545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Регистрация особо опасных болезней животных на территории Кыргызской Республики (2011-2016 гг.)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04"/>
        <w:gridCol w:w="1228"/>
        <w:gridCol w:w="1230"/>
        <w:gridCol w:w="1230"/>
        <w:gridCol w:w="1228"/>
        <w:gridCol w:w="1230"/>
        <w:gridCol w:w="1230"/>
      </w:tblGrid>
      <w:tr>
        <w:tc>
          <w:tcPr>
            <w:tcW w:type="dxa" w:w="28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болезни</w:t>
            </w:r>
          </w:p>
        </w:tc>
        <w:tc>
          <w:tcPr>
            <w:tcW w:type="dxa" w:w="1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2011 г.</w:t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2012 г.</w:t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2013 г.</w:t>
            </w:r>
          </w:p>
        </w:tc>
        <w:tc>
          <w:tcPr>
            <w:tcW w:type="dxa" w:w="1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2014 г.</w:t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г.</w:t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г.</w:t>
            </w:r>
          </w:p>
        </w:tc>
      </w:tr>
      <w:tr>
        <w:tc>
          <w:tcPr>
            <w:tcW w:type="dxa" w:w="2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Ящур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Оспа овец и коз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Сибирская язва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Бешенство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2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Бруцеллез МРС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Ветеринарной палатой Кыргызской Республики по всей республике регулярно проводятся тренинги для повышения квалификации частных ветеринарных специалистов. В рамках проекта "Улучшение инвестиционного климата в Кыргызской Республике" проведено </w:t>
      </w:r>
      <w:r>
        <w:rPr>
          <w:rFonts w:ascii="Arial" w:cs="Arial" w:eastAsia="Arial" w:hAnsi="Arial"/>
          <w:sz w:val="24"/>
          <w:szCs w:val="24"/>
        </w:rPr>
        <w:t xml:space="preserve">обучение ветеринарных инспекторов на тему "Современные подходы к обеспечению безопасности пищевой продукции", в котором приняли участие 130 ветеринарных инспекторов.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проекта "</w:t>
      </w:r>
      <w:r>
        <w:rPr>
          <w:rFonts w:ascii="Arial" w:cs="Arial" w:eastAsia="Arial" w:hAnsi="Arial"/>
          <w:sz w:val="24"/>
          <w:szCs w:val="24"/>
        </w:rPr>
        <w:t xml:space="preserve">JICA</w:t>
      </w:r>
      <w:r>
        <w:rPr>
          <w:rFonts w:ascii="Arial" w:cs="Arial" w:eastAsia="Arial" w:hAnsi="Arial"/>
          <w:sz w:val="24"/>
          <w:szCs w:val="24"/>
        </w:rPr>
        <w:t xml:space="preserve">" прошли обучение в Японии 8 государственных и частных ветеринарных специалистов. В рамках Программы "Продовольственная безопасность" прошли обучение в КНР 25 ветеринарных специалистов. В 2016-2017 годы более 2000 ветеринарных специалистов прошли обучение по программе контроля болезней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внедрения системы идентификации и отслеживания животных подготовлено 180 тренеров по идентификации сельскохозяйственных животных, обучено более 3000 ветеринарных врачей и операторов, с которыми были заключены соответствующие контракты.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ускорения процесса идентификации животных и обеспечения выполнения требований Дорожной карты по вхождению Кыргызской Республики в ЕАЭС выделен бюджетный кредит на сумму 28,0 млн. сомов и закуплено 716 тыс. пар ушных бирок.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завершить идентификацию крупного рогатого скота по всей республике до конца 2017 года, со второго квартала 2018 года - приступить к идентификации лошадей и мелкого рогатого скота.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оснащения пограничных ветеринарных контрольных пунктов (далее - ПВКП) через Государственную границу Кыргызской Республики "Торугарт", "Эркештам", "Достук", Железнодорожный пункт пропуска "Кара-Суу", а также в международном аэропорту города Ош установлены временные модульные контейнеры для размещения ПВКП. Укомплектованы необходимой оргтехникой (компьютеры, модемы, принтеры и т.д.), имеется телефонная, факсимильная связь, доступ к интернету. Также ПВКП приведены в полное соответствие с требованиями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 делегированы отдельные государственные полномочия в области ветеринарии частным ветеринарным врачам на договорной основе. Частные ветеринарные врачи проводят плановую вакцинацию, обработку и идентификацию скота, несут ответственность за обеспечение эпизоотического благополучия на закрепленной территории, выписывают ветеринарные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проводимой работы за последние 2 года количество частных ветеринарных специалистов в республике увеличилось с 1500 (2015 г.) до более чем 2300 человек (2017 г.).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Проводится работа по оптимизации ветеринарной лабораторной системы Кыргызской Республики. После завершения работы по оптимизации из существующих 28 останется 19 ветеринарных лабораторий, 2 из них в городах Бишкек и Ош имеют статус национальных.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Осуществляются строительство 4-х зональных ветеринарных лабораторий в городах Талас, Баткен, Балыкчы, Каракол и ремонт 12 межрайонных ветеринарных лабораторий. Для этих целей из республиканского бюджета выделено 175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ремонтно-строительных работ и оснащении ветеринарных диагностических лабораторий планируется продолжить мероприятия по аккредитации ветеринарных испытательных лабораторий и расширению области аккредитации уже прошедших аккредитацию ветеринарных лабораторий на соответствие международным стандартам ISO/МЭК 17 025:2009 по оценке качества пищевых продуктов на безопасность.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системы электронного слежения товаров (грузов), подконтрольных ветеринарному надзору (контролю), разработана информационная автоматизированная программа по обеспечению системы электронного слежения ветеринарных сопроводительных документов Кыргызской Республики "ИС ЭЛЕК". К системе подключены территориальные подразделения ветеринарной службы, а также ПВКП.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автоматизированная информационная система будет интегрирована в аналогичные системы государств-членов ЕАЭС ("Меркурий", "Аргус"),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ЕАЭС данная информационная система вводится для борьбы с контрафактной продукцией на территориях государств-членов ЕАЭС, что упростит процедуру выдачи ветеринарных сопроводительных документов и позволит осуществлять прослеживание товаров (грузов), подлежащих ветеринарному надзору (контролю), и увеличит экспорт продукции Кыргызской Республики в государства-члены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экспортного потенциала республики проводится усиленная работа с государствами-членами ЕАЭС и другими странами. В настоящее время 28 перерабатывающих предприятий Кыргызской Республики свободно экспортируют свою продукцию на территорию Российской Федерации и Республики Казахстан. Для включения в общий Реестр предприятий ЕАЭС дополнительно поданы на рассмотрение документы 9 предприятий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Проводится активная работа с КНР, в результате которой подписаны Меморандум по взаимопониманию и 4 протокола, регламентирующие экспорт животноводческой продукции Кыргызской Республики в КНР.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основных проблем за последние годы в системе ветеринарии Кыргызской Республики является снятие ветеринарного контроля на кыргызско-казахстанском участке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 декабря 2016 года состоялось заседание Совета Евразийской экономической комиссии, на котором рассматривались вопросы признания системы ветеринарно-санитарного контроля Кыргызской Республики эквивалентной системам государств-членов ЕАЭС и отмены ветеринарного контроля на кыргызско-казахстанском участке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заседания Совета Евразийской экономической комиссии признание ветеринарной системы Кыргызской Республики поддержали Российская Федерация, Республика Беларусь, Республика Армения и Евразийская экономическая комиссия, кроме Республики Казахстан.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эпизоотическая ситуация в Кыргызской Республике благополучная, особо опасные болезни животных и птиц не зарегистрированы. В целях сохранения эпизоотического благополучия в республике постоянно проводятся плановые профилактические и противоэпизоотические мероприятия.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настоящей Программы являются улучшение статуса здоровья животных страны и безопасности продуктов животноводства, улучшение ветеринарного здоровья и повышение конкурентоспособности сектора животноводства, что позволит лучше определять внутренний рынок и повысить экспортный потенциал животноводческой продукции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здоровья животных от болезней, общих для человека и животных, и обеспечение эпизоотического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территории Кыргызской Республики от заноса и распространения заразных и экзотических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безопасностью продуктов, сырья животного и растительного происхождения, ветеринарных лекарственных средств, кормов и кормовых добавок;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использование современных, научно обоснованных методов диагностики и борьбы с болезнями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своевременных противоэпизоотических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ветеринарной науки, базового и непрерывного ветеринарного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Меры по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Программе определены следующие основные направления для развития (улучшения) качества работы ветеринарной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ветеринарного законодательства Кыргызской Республики и его гармонизация с ветеринарно-санитарными требованиями ЕАЭС, МЭБ;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ветеринарной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и модернизация испытательных ветеринарных лабораторий;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ветеринарного надзора (контроля);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экспортного потенциала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ветеринарного общественного здоровья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развития животноводства за счет высокого санитарного статуса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метода ХАССП;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процесса сертификации пищевой продукции в соответствии с международными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рационального использования ветеринарных лекарственных средств, кормов и кормовых добавок;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чрезвычайного фонда вакцин для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отходами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рабочей группы по охране здоровья животных на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частной ветеринарной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ветеринарного статуарного органа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Мониторинг и оценка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Регулярный мониторинг и оценка выполнения Программы станут эффективным инструментом отслеживания прогресса в ее реализации, который позволит принимать своевременные решения через внесение корректив в планы реализации данной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Согласованные со всеми заинтересованными сторонами ежегодные планы реализации Программы с системой индикаторов будут являться неотъемлемой составляющей мониторинга и оценки прогресса в решении задач обеспечения ветеринарной безопасности, а также окажет содействие в развитии ветеринарной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данных мониторинга будет периодически оцениваться эффективность реализации Программы. В ходе этой оценки будет детально анализироваться достигнутый прогресс, будут выявляться "слабые места" и недостатки в выполнении мероприятий в Программе. На основании полученных результатов будут приниматься решения по выбору альтернативных возможностей для последующих шагов в реализации планов Программы, по перераспределению ресурсов и их оптимальному использованию, улучшению координации усилий с донорским сообществом, более полному удовлетворению ожиданий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Согласованный со всеми заинтересованными сторонами ежегодный план реализации Программы с ее системой индикаторов будет являться неотъемлемой составляющей мониторинга и оценки прогресса в продвижении приоритетов, обозначенных до 2023 года в рамках настоящей Программы.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Международное сотрудничество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Ветеринарная служба в течение многих лет тесно сотрудничает по вопросам ветеринарии и пищевой безопасности с международными организациями, такими, как МЭБ, ФАО, МФСР, ВОЗ, JICA, АБР, Всемирный банк и другими, в частности, по вопросам приобретения ветеринарных лекарственных средств, холодового оборудования и транспорта для проведения плановой вакцинации сельскохозяйственных животных, оказывается консультативно-методическая помощь при проведении ветеринарных мероприятий. В рамках сотрудничества осуществляется взаимный обмен информацией, нормативной документацией в области ветеринарии, а также проводятся обучение ветеринарных и лабораторных специалистов, повышение их квалификации, совместные исследовательские работы, международные конференции, семинары и другие мероприятия, направленные на охрану и укрепление здоровья животных и человека.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Финансирование мероприятий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Источником финансирования реализации мероприятий Программы будут являться средства государственного бюджета Кыргызской Республики и другие средства,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настоящей Программы позволит ветеринарной службе выполнять свои обязанности в соответствии с требованиями международных стандартов, создать регулируемый, постоянно функционирующий частный ветеринарный сектор и другие необходимые вспомогательные компоненты, способствующие совершенствованию организации ветеринарного дела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Программы в течение 2018-2023 годов будут реализованы проекты, которые соответствуют стратегическим целям Правительства Кыргызской Республики. Проектный подход позволит обеспечить достижение конкретных результатов, мониторинг и оценку.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позволит обеспечить повышение эффективности деятельности ветеринарной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будет ориентироваться на достижение следующих основных показателей в области ветеринарии и пищевой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благополучия здоровья животных, развитие животноводства страны, в том числе племенного скота;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сертификация пищевой продукции животного происхождения в соответствии с международными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 поддержание особого зоосанитарного статуса в Кыргызской Республике по приоритетным болезням животных в соответствии с положениями Кодекса здоровья наземных животных МЭБ;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на продовольственные рынки КНР, страны Ближнего Востока и Европейского Союза, что позволит повысить экспортный потенциал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гармонизация ветеринарного законодательства Кыргызской Республики с международными требованиями 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аккредитация ветеринарных испытательных лабораторий;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оснащение ветеринарных испытательных лабораторий современным лабораторным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лабораторных сотрудников и ветеринарных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на перерабатывающих предприятиях Кыргызской Республики системы ХАССП;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единого реестра ветеринарных лекарственных средств, кормов и кормовых добавок;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чрезвычайного фонда вакцин для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статуса и значимости ветеринарного статуарного органа Кыргызской Республики и частной ветеринарной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КНР</w:t>
      </w:r>
      <w:r>
        <w:rPr>
          <w:rFonts w:ascii="Arial" w:cs="Arial" w:eastAsia="Arial" w:hAnsi="Arial"/>
          <w:sz w:val="24"/>
          <w:szCs w:val="24"/>
        </w:rPr>
        <w:t xml:space="preserve"> - Китайская Народная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МЭБ</w:t>
      </w:r>
      <w:r>
        <w:rPr>
          <w:rFonts w:ascii="Arial" w:cs="Arial" w:eastAsia="Arial" w:hAnsi="Arial"/>
          <w:sz w:val="24"/>
          <w:szCs w:val="24"/>
        </w:rPr>
        <w:t xml:space="preserve"> - Всемирная организация по охране здоровья животных (МЭБ);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ФАО</w:t>
      </w:r>
      <w:r>
        <w:rPr>
          <w:rFonts w:ascii="Arial" w:cs="Arial" w:eastAsia="Arial" w:hAnsi="Arial"/>
          <w:sz w:val="24"/>
          <w:szCs w:val="24"/>
        </w:rPr>
        <w:t xml:space="preserve"> - Продовольственная и сельскохозяйственная организация ООН;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МФСР</w:t>
      </w:r>
      <w:r>
        <w:rPr>
          <w:rFonts w:ascii="Arial" w:cs="Arial" w:eastAsia="Arial" w:hAnsi="Arial"/>
          <w:sz w:val="24"/>
          <w:szCs w:val="24"/>
        </w:rPr>
        <w:t xml:space="preserve"> - Международный Фонд сельскохозяйственного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</w:t>
      </w:r>
      <w:r>
        <w:rPr>
          <w:rFonts w:ascii="Arial" w:cs="Arial" w:eastAsia="Arial" w:hAnsi="Arial"/>
          <w:sz w:val="24"/>
          <w:szCs w:val="24"/>
        </w:rPr>
        <w:t xml:space="preserve"> - Всемирная организация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JICA</w:t>
      </w:r>
      <w:r>
        <w:rPr>
          <w:rFonts w:ascii="Arial" w:cs="Arial" w:eastAsia="Arial" w:hAnsi="Arial"/>
          <w:sz w:val="24"/>
          <w:szCs w:val="24"/>
        </w:rPr>
        <w:t xml:space="preserve"> - Японское агентство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 - Азиатский банк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ХАССП </w:t>
      </w:r>
      <w:r>
        <w:rPr>
          <w:rFonts w:ascii="Arial" w:cs="Arial" w:eastAsia="Arial" w:hAnsi="Arial"/>
          <w:sz w:val="24"/>
          <w:szCs w:val="24"/>
        </w:rPr>
        <w:t xml:space="preserve">- Анализ рисков и критические контрольные точки (англ. </w:t>
      </w:r>
      <w:r>
        <w:rPr>
          <w:rFonts w:ascii="Arial" w:cs="Arial" w:eastAsia="Arial" w:hAnsi="Arial"/>
          <w:sz w:val="24"/>
          <w:szCs w:val="24"/>
        </w:rPr>
        <w:t xml:space="preserve">Hazard Analysis and Critical Control Points (HACCP).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xsqlt11kbhevvtie6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dalil.kg/document/10051</w:t>
      </w:r>
    </w:hyperlink>
  </w:p>
  <w:p>
    <w:pPr>
      <w:spacing w:after="0" w:before="40"/>
      <w:jc w:val="center"/>
    </w:pPr>
    <w:hyperlink w:history="1" r:id="rId4-x-bptp4mop-kide-3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uaon99i4o-sibijdzfv" Type="http://schemas.openxmlformats.org/officeDocument/2006/relationships/hyperlink" Target="https://dalil.kg/document/100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xsqlt11kbhevvtie6bj" Type="http://schemas.openxmlformats.org/officeDocument/2006/relationships/hyperlink" Target="https://dalil.kg/document/10051" TargetMode="External"/><Relationship Id="rId4-x-bptp4mop-kide-3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2026-09-28T10:31:01.499Z</dcterms:created>
  <dcterms:modified xsi:type="dcterms:W3CDTF">2026-09-28T10:31:01.499Z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