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144/</w:t>
      </w:r>
      <w:r>
        <w:rPr>
          <w:rFonts w:ascii="Arial" w:cs="Arial" w:eastAsia="Arial" w:hAnsi="Arial"/>
          <w:sz w:val="24"/>
          <w:szCs w:val="24"/>
        </w:rPr>
        <w:t xml:space="preserve">XLIV</w:t>
      </w:r>
      <w:r>
        <w:rPr>
          <w:rFonts w:ascii="Arial" w:cs="Arial" w:eastAsia="Arial" w:hAnsi="Arial"/>
          <w:sz w:val="24"/>
          <w:szCs w:val="24"/>
        </w:rPr>
        <w:t xml:space="preserve"> - 2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даче согласия на продажу тракторов Т-40АМ, YTO-304и автомашины ГАЗ-53А находящиеся в муниципальной собственности мэрии г.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Каинда, а так же в целях обеспечения максимальной эффективности и прозрачности использования муниципальной собственности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соотвествии ст.19 Закона КР «О муниципальной собственности на имущество», п.2 ст.18, п.1, п.2 ст.31, ст.41 </w:t>
      </w:r>
      <w:hyperlink w:history="1" r:id="rIdy5ny-s9u_24zebjwh-z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продажу тракторов Т-40АМ, YTO-304 и автомашины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ГАЗ-53А, находяйщиеся в муниципальной собственности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2.Финансово-экономическому отделу мэрии г. Каинда,  денежные средства от продажи зачислить на акуммулиационный счет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настоящее постановление в Чуй-Бишкексое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постоянные депутатские комиссии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pw-4_d31_znq7zjzp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dalil.kg/document/110007</w:t>
      </w:r>
    </w:hyperlink>
  </w:p>
  <w:p>
    <w:pPr>
      <w:spacing w:after="0" w:before="40"/>
      <w:jc w:val="center"/>
    </w:pPr>
    <w:hyperlink w:history="1" r:id="rIdtch5nnquznqdeyzw0o3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ny-s9u_24zebjwh-zi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pw-4_d31_znq7zjzpke" Type="http://schemas.openxmlformats.org/officeDocument/2006/relationships/hyperlink" Target="https://dalil.kg/document/110007" TargetMode="External"/><Relationship Id="rIdtch5nnquznqdeyzw0o3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2026-09-30T03:03:23.783Z</dcterms:created>
  <dcterms:modified xsi:type="dcterms:W3CDTF">2026-09-30T03:03:23.783Z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