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 </w:t>
      </w:r>
      <w:hyperlink w:history="1" r:id="rIdwtfglwehz-ysuqhhjbye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
 от 3 июня 2020 года № 288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Меморандум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взаимопонимании по сотрудничеству в области гражданской защиты и обороны между Правительством Кыргызской Республики и Правительством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г.Эр-Рияд, от 16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 Кыргызской Республики и Правительство Королевства Саудовская Аравия (далее именуемые Сторонами),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и в поддержку их братских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желая установить эффективное и продолжительное сотрудничество в сфере гражданской защиты и обороны,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стремясь предотвратить опасности и пытаясь защитить людей, ресурсы и окружающую среду от стихийных бедствий и бедствий в результате человеческой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признавая важность и выгоду заключения Меморандума о взаимопонимании в данной области между двумя странами,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Стороны соглашаются сотрудничать в области гражданской защиты и обороны с целью противодействия различным рискам, которые могут возникнуть в результате стихийных бедствий или человеческой деятельности, включая техническую, производственную, криминальную и другую деятельность. Стороны будут стремиться содействовать такому сотрудничеству с помощью соответствующих средств и в рамках, имеющихся у них ресурсов, в соответствии со своими потребностями.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Сотрудничество, упомянутое в </w:t>
      </w:r>
      <w:r>
        <w:rPr>
          <w:rFonts w:ascii="Arial" w:cs="Arial" w:eastAsia="Arial" w:hAnsi="Arial"/>
          <w:sz w:val="22"/>
          <w:szCs w:val="22"/>
        </w:rPr>
        <w:t xml:space="preserve">статье 1</w:t>
      </w:r>
      <w:r>
        <w:rPr>
          <w:rFonts w:ascii="Arial" w:cs="Arial" w:eastAsia="Arial" w:hAnsi="Arial"/>
          <w:sz w:val="22"/>
          <w:szCs w:val="22"/>
        </w:rPr>
        <w:t xml:space="preserve"> настоящего Меморандума о взаимопонимании,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Обмен информацией, касающейся законодательных, технических и административных аспектов, между органами гражданской защиты и обороны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Формирование оперативных групп, которые собираются периодически и при необходимости, с целью координации усилий в различных областях для облегчения ведения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Проведение совместных полевых и научных исследований для достижения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a. выявление прямых и косвенных рисков для обеих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b. определение наилучших мер по предотвращению и устранению таких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c. определение способа связи между Сторонами в случае бедствия, способа обращения за помощью и требуемыми данными;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d</w:t>
      </w:r>
      <w:r>
        <w:rPr>
          <w:rFonts w:ascii="Arial" w:cs="Arial" w:eastAsia="Arial" w:hAnsi="Arial"/>
          <w:sz w:val="22"/>
          <w:szCs w:val="22"/>
        </w:rPr>
        <w:t xml:space="preserve">. определение способа и средств транспортировки персонала, оборудования, предметов помощи и тому подобного в случае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Содействие теоретическому и практическому обучению персонала гражданской защиты и обороны путем посещения учебных курсов, проводимых любой из Сторон, а также изучения возможности проведения учебных курсов в центрах гражданской защиты и обороны и школах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Обмен опытом между Сторонами в области гражданской защиты и обороны для максимального использования имеющегося опыта в области пожаротушения, включая авиацию, поиск, различные средства спасения, а также управление кризисами и катастрофами.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Разработка совместных кампаний по повышению осведомленности граждан государств Сторон о борьбе со стихийными бедствиями.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Координация региональных и международных совещаний и конференций способами, служащими интересам обеих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Каждая Сторона предпринимает меры, при запросе о помощи, по облегчению въезда и выезда с ее территории: персонала, оборудования и предметов предоставившей Стороны. Направляющая Сторона должна соблюдать законы, правила и инструкции принимающей Стороны. Для этого требуется, чтобы направляющая Сторона одобрила данные, подготовленные для этой цели.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Группы по оказанию помощи одной из Сторон должны соблюдать применимые законы другой Стороны во время их присутствия на территории ее государства. Расходы, связанные с таким сотрудничеством, покрываются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Направляющая Сторона несет расходы по транспортировке персонала и оборудования на территорию государства принимающей Стороны, предоставлению жилья, уходу за здоровьем персонала и здравоохранению, а также эксплуатационному и техническому обслуживанию оборудования во время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Сторона, к которой относятся должностные лица и эксперты по гражданской защите и обороне, посещающие другую Сторону, несет расходы на поездки в оба конца, а принимающая Сторона несет все расходы на проживание, а также на местную транспортировку.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Сторона, отправляющая стажеров в другую Сторону, несет расходы на поездку туда и обратно; на проживание, местный транспорт и обучение, и должна обеспечивать надлежащее медицинское обслуживание во время их пребывания.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Принимающая Сторона не несет никаких финансовых обязательств в отношении любой полученной ею материальной помощи и не несет никаких расходов, связанных с потреблением или повреждением полученных предметов снабжения и оборудования во время операций по оказанию помощи, если только ущерб не был преднамеренным.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Надзор за операциями по ведению, спасению и лечению, а также определению приоритетов таких операций должен быть поручен командованию гражданской защиты и обороны принимающей Стороны, при условии, что общие инструкции направлены командованию направляющей Стороны, и при условии, что на персонал направляющей Стороны не возлагаются обязанности, характер опасности которых превышает характер опасности выполняемых персоналом и подразделениями принимающей Стороны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Принимающая Сторона несет ответственность за любой непреднамеренный ущерб, нанесенный третьей стороне любым из сотрудников направляющей Стороны во время выполнения последними своих обязанностей, также как несет ответственность местный персонал.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Направляющая Сторона несет ответственность за любой ущерб, причиненный ее персоналу во время выполнения ими своих обязанностей, а также за любую потерю оборудования без права на обращение к принимающей Стороне, если такая потеря не является преднамеренной.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Любая информация, полученная любой из Сторон в ходе реализации настоящего Меморандума, не может быть передана третьей стороне без письменного согласия Стороны, предоставившей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Соответствующие органы обеих Сторон будут сотрудничать в проведении исследований, чтобы помочь органам гражданской защиты и обороны в выполнении их обязанностей, и разработке необходимых планов, особенно для реагирования на чрезвычайные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Создается межведомственная комиссия, которой поручается планирование реализации программ сотрудничества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Межведомственная комиссия созывается поочередно, по предварительному согласованию Сторон. Председательство в указанной комиссии принадлежит стороне, принимающей собрание. Председатель должен быть в ранге руководителя уполномоченного органа в области гражданской защиты или следующем за ним ранге.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Совместная межведомственная комиссия, упомянутая в </w:t>
      </w:r>
      <w:r>
        <w:rPr>
          <w:rFonts w:ascii="Arial" w:cs="Arial" w:eastAsia="Arial" w:hAnsi="Arial"/>
          <w:sz w:val="22"/>
          <w:szCs w:val="22"/>
        </w:rPr>
        <w:t xml:space="preserve">статье 11 </w:t>
      </w:r>
      <w:r>
        <w:rPr>
          <w:rFonts w:ascii="Arial" w:cs="Arial" w:eastAsia="Arial" w:hAnsi="Arial"/>
          <w:sz w:val="22"/>
          <w:szCs w:val="22"/>
        </w:rPr>
        <w:t xml:space="preserve">настоящего Меморандума, будет мирно урегулировать любые споры между Сторонами, возникающие в связи с толкованием или применением настоящего Меморандума. Если указанная межведомственная комиссия не может прийти к соглашению, Стороны могут прибегнуть к дипломатическим каналам урегулирования.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Меморандум вступает в силу через 30 дней после последнего уведомления, направленного одной из Сторон другой Стороне по дипломатическим каналам, с указанием завершения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Настоящий Меморандум остается в силе в течение неопределенного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Любая из Сторон может прекратить действие настоящего Меморандума в соответствии с письменным уведомлением, направленным другой Стороне по дипломатическим каналам. Прекращение должно быть завершено по истечении шести месяцев с даты получения такого уведомления. Это не влияет на любые запросы, поданные в течение срока действия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Совершено в городе Эр-Рияд 16 декабря 2019 года, 19/4/1441Н (по календарю хиджры), в четырех экземплярах, каждый на кыргызском, арабском, русском и английском языках, все тексты являются равно аутентичными. В случае расхождений в толковании, английский текст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 Правительство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nscdcohu-_fyw39z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dalil.kg/document/11035</w:t>
      </w:r>
    </w:hyperlink>
  </w:p>
  <w:p>
    <w:pPr>
      <w:spacing w:after="0" w:before="40"/>
      <w:jc w:val="center"/>
    </w:pPr>
    <w:hyperlink w:history="1" r:id="rIdmtrxv1sabqdx_fiepo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fglwehz-ysuqhhjbyey" Type="http://schemas.openxmlformats.org/officeDocument/2006/relationships/hyperlink" Target="https://dalil.kg/document/226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nscdcohu-_fyw39zwpr" Type="http://schemas.openxmlformats.org/officeDocument/2006/relationships/hyperlink" Target="https://dalil.kg/document/11035" TargetMode="External"/><Relationship Id="rIdmtrxv1sabqdx_fiepo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2026-09-30T19:19:12.573Z</dcterms:created>
  <dcterms:modified xsi:type="dcterms:W3CDTF">2026-09-30T19:19:12.573Z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