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
 с 1 января 2019 года в соответствии с </w:t>
      </w:r>
      <w:hyperlink w:history="1" r:id="rIdtrwn3fyc8e6ceoqe7dq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 КР</w:t>
        </w:r>
      </w:hyperlink>
      <w:r>
        <w:rPr>
          <w:rFonts w:ascii="Arial" w:cs="Arial" w:eastAsia="Arial" w:hAnsi="Arial"/>
          <w:sz w:val="24"/>
          <w:szCs w:val="24"/>
        </w:rPr>
        <w:t xml:space="preserve"> от 13 апреля 2017 года N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июля 2015 года № 160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lboicpyx3zv-4dhyfu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lbnl9huyqup-f3u0rs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на граждан - в размере семидесяти пяти расчетных показателей, на должностных лиц - ста восьмидесяти расчетных показателей, на юридических лиц - семисот пятидесяти расчетных показателей.";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"То же действие, предусмотренное частью первой настоящей статьи, совершенное повторно после применения мер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лишение разрешения, выданного уполномоченным государственным органом.".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июля 2015 года № 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rwn3fyc8e6ceoqe7dqad" Type="http://schemas.openxmlformats.org/officeDocument/2006/relationships/hyperlink" Target="http://kodeks.duckdns.org/document/111565" TargetMode="External"/><Relationship Id="rIdblboicpyx3zv-4dhyfuai" Type="http://schemas.openxmlformats.org/officeDocument/2006/relationships/hyperlink" Target="http://kodeks.duckdns.org/document/6" TargetMode="External"/><Relationship Id="rIddlbnl9huyqup-f3u0rs7z" Type="http://schemas.openxmlformats.org/officeDocument/2006/relationships/hyperlink" Target="http://kodeks.duckdns.org/document/6#st_7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2026-09-23T00:35:09.436Z</dcterms:created>
  <dcterms:modified xsi:type="dcterms:W3CDTF">2026-09-23T00:35:09.436Z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