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201 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бухгалтерском учете"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9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_mytmrwkgrfka_hps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II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II</w:t>
      </w:r>
      <w:r>
        <w:rPr>
          <w:rFonts w:ascii="Arial" w:cs="Arial" w:eastAsia="Arial" w:hAnsi="Arial"/>
          <w:sz w:val="24"/>
          <w:szCs w:val="24"/>
        </w:rPr>
        <w:t xml:space="preserve">
 Требования к организации ведения бухгалтерского учета и кассовых операций";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Порядок организации ведения бухгалтерского учета и кассовых операций";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ведения кассовых операций хозяйствующими субъектами и бюджетными учреждениями в Кыргызской Республике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хозяйствующим субъектом понимается субъект, определенный таковым в соответствии с </w:t>
      </w:r>
      <w:hyperlink w:history="1" r:id="rIdxadwoifwaehz6abmj4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кассовыми операциями понимаются прием, выдача и хранение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ценностями понимаются валютные ценности, банкноты и монеты, ценные бумаги и бланки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Банкнотами и монетами являются денежные знаки разного достоинства и вида, выпускаемые и находящиеся в обращении согласно законодательству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kid0fgqd7zwnrlwhv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dalil.kg/document/111711</w:t>
      </w:r>
    </w:hyperlink>
  </w:p>
  <w:p>
    <w:pPr>
      <w:spacing w:after="0" w:before="40"/>
      <w:jc w:val="center"/>
    </w:pPr>
    <w:hyperlink w:history="1" r:id="rIdfx_vwao10ckowau39jy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mytmrwkgrfka_hpsnji" Type="http://schemas.openxmlformats.org/officeDocument/2006/relationships/hyperlink" Target="https://dalil.kg/document/1032" TargetMode="External"/><Relationship Id="rIdxadwoifwaehz6abmj4oyk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kid0fgqd7zwnrlwhvi6" Type="http://schemas.openxmlformats.org/officeDocument/2006/relationships/hyperlink" Target="https://dalil.kg/document/111711" TargetMode="External"/><Relationship Id="rIdfx_vwao10ckowau39jy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2026-09-25T14:08:26.963Z</dcterms:created>
  <dcterms:modified xsi:type="dcterms:W3CDTF">2026-09-25T14:08:26.963Z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