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2018 года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предупреждении и борьбе с торговлей людьми"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  30 ноября 2017 года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ypmdemfhswvq3pun0b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предупреждении и борьбе с торговлей людьми" (Ведомости Жогорку Кенеша Кыргызской Республики, 2005 г., № 7, ст.496)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статью 1</w:t>
      </w:r>
      <w:r>
        <w:rPr>
          <w:rFonts w:ascii="Arial" w:cs="Arial" w:eastAsia="Arial" w:hAnsi="Arial"/>
          <w:sz w:val="24"/>
          <w:szCs w:val="24"/>
        </w:rPr>
        <w:t xml:space="preserve"> дополнить абзацами седьмым и восьмым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"идентификация жертв торговли людьми - правила отнесения лица к жертве торговли людьми на основе критериев, утвержденных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механизм перенаправления жертв торговли людьми - это совокупность действий государственных органов, некоммерческих организаций, а также специализированных учреждений, направленных на оказание помощи и защиту жертв торговли людьми;";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орган в сфере труда и социального развития;";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дополнить абзацем одиннадцатым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орган в сфере миграции;";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6 слова ", определяемым Президентом Кыргызской Республики"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1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создание и обеспечение функционирования национального механизма перенаправления жертв торговли людьми.";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r>
        <w:rPr>
          <w:rFonts w:ascii="Arial" w:cs="Arial" w:eastAsia="Arial" w:hAnsi="Arial"/>
          <w:sz w:val="24"/>
          <w:szCs w:val="24"/>
        </w:rPr>
        <w:t xml:space="preserve">статье 8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слово "Президентом" заменить словом "Правительством";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3 и 4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статью 9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10-1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"10-1. Уполномоченный орган в сфере миграции участвует в предупреждении, выявлении и пресечении торговли людьми.";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главу IV</w:t>
      </w:r>
      <w:r>
        <w:rPr>
          <w:rFonts w:ascii="Arial" w:cs="Arial" w:eastAsia="Arial" w:hAnsi="Arial"/>
          <w:sz w:val="24"/>
          <w:szCs w:val="24"/>
        </w:rPr>
        <w:t xml:space="preserve"> дополнить </w:t>
      </w:r>
      <w:r>
        <w:rPr>
          <w:rFonts w:ascii="Arial" w:cs="Arial" w:eastAsia="Arial" w:hAnsi="Arial"/>
          <w:sz w:val="24"/>
          <w:szCs w:val="24"/>
        </w:rPr>
        <w:t xml:space="preserve">статьей 19-1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19-1</w:t>
      </w:r>
      <w:r>
        <w:rPr>
          <w:rFonts w:ascii="Arial" w:cs="Arial" w:eastAsia="Arial" w:hAnsi="Arial"/>
          <w:sz w:val="24"/>
          <w:szCs w:val="24"/>
        </w:rPr>
        <w:t xml:space="preserve">. Национальный механизм перенаправления жертв торговли людьми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Выявление, идентификация, перенаправление и реабилитация жертв торговли людьми, взаимодействие уполномоченных государственных органов, некоммерческих и международных организаций по урегулированию отношений с жертвами торговли людьми, а также специализированными учреждениями осуществляются в рамках национального механизма перенаправления жертв торговли людьми.";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1 </w:t>
      </w:r>
      <w:r>
        <w:rPr>
          <w:rFonts w:ascii="Arial" w:cs="Arial" w:eastAsia="Arial" w:hAnsi="Arial"/>
          <w:sz w:val="24"/>
          <w:szCs w:val="24"/>
        </w:rPr>
        <w:t xml:space="preserve">статьи 25</w:t>
      </w:r>
      <w:r>
        <w:rPr>
          <w:rFonts w:ascii="Arial" w:cs="Arial" w:eastAsia="Arial" w:hAnsi="Arial"/>
          <w:sz w:val="24"/>
          <w:szCs w:val="24"/>
        </w:rPr>
        <w:t xml:space="preserve"> после слов "прокурора, суда" дополнить словами ", в рамках национального механизма перенаправления жертв торговли людьми,".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течение пяти месяцев со дня официального опубликования настоящего Закона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6vup6mm5iu1ug8xqye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dalil.kg/document/111736</w:t>
      </w:r>
    </w:hyperlink>
  </w:p>
  <w:p>
    <w:pPr>
      <w:spacing w:after="0" w:before="40"/>
      <w:jc w:val="center"/>
    </w:pPr>
    <w:hyperlink w:history="1" r:id="rIdrlli7ipa8j9huzz8smk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ypmdemfhswvq3pun0bvy" Type="http://schemas.openxmlformats.org/officeDocument/2006/relationships/hyperlink" Target="https://dalil.kg/document/165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6vup6mm5iu1ug8xqyenl" Type="http://schemas.openxmlformats.org/officeDocument/2006/relationships/hyperlink" Target="https://dalil.kg/document/111736" TargetMode="External"/><Relationship Id="rIdrlli7ipa8j9huzz8smkg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2026-09-24T18:30:49.588Z</dcterms:created>
  <dcterms:modified xsi:type="dcterms:W3CDTF">2026-09-24T18:30:49.588Z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