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u1qhjjmrfvqr0zeaien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 апреля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iyflri3l4wv-w6ldf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171</w:t>
      </w:r>
      <w:r>
        <w:rPr>
          <w:rFonts w:ascii="Arial" w:cs="Arial" w:eastAsia="Arial" w:hAnsi="Arial"/>
          <w:sz w:val="24"/>
          <w:szCs w:val="24"/>
        </w:rPr>
        <w:t xml:space="preserve"> слова "имеющей лицензию уполномоченного государственного органа, и подтвержденной документами, но не более 10 процентов от размера налоговой базы налогоплательщика без учета вычетов на образование" заменить словами "имеющей лицензию уполномоченного государственного органа, или в адрес попечительских советов, и подтвержденной документами, но не более 10 процентов от размера налоговой базы налогоплательщика без учета вычетов на образование, а для налогоплательщиков, содержащих троих и более иждивенцев, - не более 25 процентов от размера налоговой базы налогоплательщика без учета вычетов на образование".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1qhjjmrfvqr0zeaien8" Type="http://schemas.openxmlformats.org/officeDocument/2006/relationships/hyperlink" Target="http://kodeks.duckdns.org/document/112342" TargetMode="External"/><Relationship Id="rIdaiyflri3l4wv-w6ldf5dn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2026-09-23T13:09:53.843Z</dcterms:created>
  <dcterms:modified xsi:type="dcterms:W3CDTF">2026-09-23T13:09:53.843Z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