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32"/>
          <w:szCs w:val="32"/>
        </w:rPr>
        <w:t xml:space="preserve">Закон вступает в силу со дня официального опубликования, за исключением статьи 2 настоящего Закона, которая вступает в силу с 1 января 2019 года.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2018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Кодекс Кыргызской Республики о нарушениях, Закон Кыргызской Республики "О рекламе")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htewqrse2p7lxg4v1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 20 июня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5vkc7v4mjfusuj5e4em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p5yz3skqtmsdbfxfyli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ono4m0duwgdprvopql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zgv90ufn0uzon73ypiz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письменных и устных текстах рекламы должны соблюдаться нормы литературного языка (алфавит и орфографические правила).".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статьи 2 настоящего Закона, которая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tewqrse2p7lxg4v1zvq" Type="http://schemas.openxmlformats.org/officeDocument/2006/relationships/hyperlink" Target="http://kodeks.duckdns.org/document/112305" TargetMode="External"/><Relationship Id="rId5vkc7v4mjfusuj5e4em0d" Type="http://schemas.openxmlformats.org/officeDocument/2006/relationships/hyperlink" Target="http://kodeks.duckdns.org/document/112305" TargetMode="External"/><Relationship Id="rIdp5yz3skqtmsdbfxfylipv" Type="http://schemas.openxmlformats.org/officeDocument/2006/relationships/hyperlink" Target="http://kodeks.duckdns.org/document/112305" TargetMode="External"/><Relationship Id="rIdqono4m0duwgdprvopqlzh" Type="http://schemas.openxmlformats.org/officeDocument/2006/relationships/hyperlink" Target="http://kodeks.duckdns.org/document/162" TargetMode="External"/><Relationship Id="rIdzgv90ufn0uzon73ypizkn" Type="http://schemas.openxmlformats.org/officeDocument/2006/relationships/hyperlink" Target="http://kodeks.duckdns.org/document/162#st_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2026-09-23T00:33:32.750Z</dcterms:created>
  <dcterms:modified xsi:type="dcterms:W3CDTF">2026-09-23T00:33:32.750Z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