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гарантийных фондах в Кыргызской Республике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cgwuwps-ukdzo1lz38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om9rgt1bqtwpi82oa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kvintcdkniieypupq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создания и деятельности гарантийных фондов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фонд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создаваемое в форме акционерного общества, прошедшее процедуру учетной регистрации в Национальном банке Кыргызской Республики (далее - Национальный банк) и осуществляющее гарантийную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 </w:t>
      </w:r>
      <w:r>
        <w:rPr>
          <w:rFonts w:ascii="Arial" w:cs="Arial" w:eastAsia="Arial" w:hAnsi="Arial"/>
          <w:sz w:val="24"/>
          <w:szCs w:val="24"/>
        </w:rPr>
        <w:t xml:space="preserve">- юридическое или физическое лицо, занимающееся индивидуальной трудовой или предпринимательской деятельностью, получившее коммерческое финансирование, бюджетное кредитование в финансово-кредитной организации/международной финансовой организации, или физическое лицо - гражданин Кыргызской Республики, получившее ипотечное финансирование или финансирование в рамках государственной программы/проекта, часть которого обеспечена гарантией;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xzbjcloofeyhd7-yc2e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января 2025 года № 29)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k1xfid84dfichqro1i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января 2025 года №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обязательства клиента</w:t>
      </w:r>
      <w:r>
        <w:rPr>
          <w:rFonts w:ascii="Arial" w:cs="Arial" w:eastAsia="Arial" w:hAnsi="Arial"/>
          <w:sz w:val="24"/>
          <w:szCs w:val="24"/>
        </w:rPr>
        <w:t xml:space="preserve"> - обязательства, возникшие в рамках полученного от финансово-кредитной организации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организации</w:t>
      </w:r>
      <w:r>
        <w:rPr>
          <w:rFonts w:ascii="Arial" w:cs="Arial" w:eastAsia="Arial" w:hAnsi="Arial"/>
          <w:sz w:val="24"/>
          <w:szCs w:val="24"/>
        </w:rPr>
        <w:t xml:space="preserve"> финансирования и соответствующие требованиям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гарантия</w:t>
      </w:r>
      <w:r>
        <w:rPr>
          <w:rFonts w:ascii="Arial" w:cs="Arial" w:eastAsia="Arial" w:hAnsi="Arial"/>
          <w:sz w:val="24"/>
          <w:szCs w:val="24"/>
        </w:rPr>
        <w:t xml:space="preserve"> - обязательство гарантийного фонда перед финансово-кредитной организацией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 нести ответственность за исполнение части обязательств по основному долгу клиента по договорам финансирования в пределах суммы предоставленной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гарантийная деятельность </w:t>
      </w:r>
      <w:r>
        <w:rPr>
          <w:rFonts w:ascii="Arial" w:cs="Arial" w:eastAsia="Arial" w:hAnsi="Arial"/>
          <w:sz w:val="24"/>
          <w:szCs w:val="24"/>
        </w:rPr>
        <w:t xml:space="preserve">- деятельность, способствующая повышению доступности финансирования клиентам и направленная на снижение части кредитных рисков финансово-кредитных организаций/международных финансовых организаций путем предоставления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предоставления гарантий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органом гарантийного фонда, регламентирующий порядок и условия предоставления гарантий, виды гарантийных инструментов, принципы предоставления гарантий, критерии и требования отбора обязательств клиентов, а также условия амортизации гарантии и ответственность сторон, соответствующий требованиям нормативных правовых актов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гарантийные инструменты</w:t>
      </w:r>
      <w:r>
        <w:rPr>
          <w:rFonts w:ascii="Arial" w:cs="Arial" w:eastAsia="Arial" w:hAnsi="Arial"/>
          <w:sz w:val="24"/>
          <w:szCs w:val="24"/>
        </w:rPr>
        <w:t xml:space="preserve"> - совокупность различных форм и видов гарантий, используемых для обеспечения обязательств клиентов по договорам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финансово-кредитные организации</w:t>
      </w:r>
      <w:r>
        <w:rPr>
          <w:rFonts w:ascii="Arial" w:cs="Arial" w:eastAsia="Arial" w:hAnsi="Arial"/>
          <w:sz w:val="24"/>
          <w:szCs w:val="24"/>
        </w:rPr>
        <w:t xml:space="preserve"> - банки, небанковские финансово-кредитные организации, которые на основании выданных им лицензий (свидетельств) Национального банка Кыргызской Республики имеют право осуществлять банковские операции, а также ОАО "Государственный банк развития Кыргызской Республики" и уполномоченный орган по реализации государственной политики в области бюджетного кредитования, заключившие с гарантийным фондом соглашение о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международные финансовые организации</w:t>
      </w:r>
      <w:r>
        <w:rPr>
          <w:rFonts w:ascii="Arial" w:cs="Arial" w:eastAsia="Arial" w:hAnsi="Arial"/>
          <w:sz w:val="24"/>
          <w:szCs w:val="24"/>
        </w:rPr>
        <w:t xml:space="preserve"> - организации, создаваемые на основе межгосударственных (международных) соглашений, осуществляющие финансирование в Кыргызской Республике и заключившие с гарантийным фондом соглашение о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</w:t>
      </w:r>
      <w:r>
        <w:rPr>
          <w:rFonts w:ascii="Arial" w:cs="Arial" w:eastAsia="Arial" w:hAnsi="Arial"/>
          <w:sz w:val="24"/>
          <w:szCs w:val="24"/>
        </w:rPr>
        <w:t xml:space="preserve"> - предоставление финансово-кредитной организацией/международной финансовой организацией кредита, финансирования в соответствии с исламскими принципами или их заменителей, перечень которых для гарантийного фонда определяется Национальным банком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мультипликатора</w:t>
      </w:r>
      <w:r>
        <w:rPr>
          <w:rFonts w:ascii="Arial" w:cs="Arial" w:eastAsia="Arial" w:hAnsi="Arial"/>
          <w:sz w:val="24"/>
          <w:szCs w:val="24"/>
        </w:rPr>
        <w:t xml:space="preserve"> - установленное Национальным банком отношение возможного превышения объема гарантийного портфеля к размеру собственного капитала гарантийного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портфель</w:t>
      </w:r>
      <w:r>
        <w:rPr>
          <w:rFonts w:ascii="Arial" w:cs="Arial" w:eastAsia="Arial" w:hAnsi="Arial"/>
          <w:sz w:val="24"/>
          <w:szCs w:val="24"/>
        </w:rPr>
        <w:t xml:space="preserve"> - совокупный объем обязательств гарантийного фонда по договорам и/или соглашениям финансирования клиентов на определенную дату;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регрессное требование</w:t>
      </w:r>
      <w:r>
        <w:rPr>
          <w:rFonts w:ascii="Arial" w:cs="Arial" w:eastAsia="Arial" w:hAnsi="Arial"/>
          <w:sz w:val="24"/>
          <w:szCs w:val="24"/>
        </w:rPr>
        <w:t xml:space="preserve"> - право гарантийного фонда требовать от клиента возмещения суммы, выплаченной финансово-кредитной организации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организации</w:t>
      </w:r>
      <w:r>
        <w:rPr>
          <w:rFonts w:ascii="Arial" w:cs="Arial" w:eastAsia="Arial" w:hAnsi="Arial"/>
          <w:sz w:val="24"/>
          <w:szCs w:val="24"/>
        </w:rPr>
        <w:t xml:space="preserve"> во исполнение обязательства по договору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гарантийных фондов</w:t>
      </w:r>
      <w:r>
        <w:rPr>
          <w:rFonts w:ascii="Arial" w:cs="Arial" w:eastAsia="Arial" w:hAnsi="Arial"/>
          <w:sz w:val="24"/>
          <w:szCs w:val="24"/>
        </w:rPr>
        <w:t xml:space="preserve"> - учредители и акционеры гарантийных фондов.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Другие термины и определения, используемые в настоящем Законе, понимаются в соответствии с их общепринятым значением в </w:t>
      </w:r>
      <w:hyperlink w:history="1" r:id="rIdmyko0h1goetrr-wa7u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законодательстве Кыргызской Республики и в международной практике, если иное не определено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fn2ex4uyc0ouqwjufje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d_jgnwasocucihdgg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u_swtxtedt3kzncvu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Наименование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должен использовать только то наименование, которое приведено в уставе организации, и использовать в наименовании слова "Гарантийный фонд".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Разграничение ответственности Кыргызской Республики, Национального банка и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Кыргызской Республики, равно как и Кыргызская Республика не отвечает по обязательствам гарантийных фондов, за исключением случаев, когда стороны добровольно принимают на себя такие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Национального банка. Национальный банк не отвечает по обязательствам гарантийных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Организационно-правовая форма гарантийных фондов. Деятельность гарантийных фондов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Создание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могут быть созданы физическими и юридическими лицами при соблюдении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гарантийных фондов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Аффилированными лицами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в которых одно и то же юридическое лицо является значительным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 в соответствии с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акций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деятельности гарантийные фонды обязаны пройти процедуру учетной регистрации в Национальном банке. Порядок прохождения учетной регистрации, основания для отказа в учетной регистрации гарантийных фондов устанавливаются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Кандидатуры должностных лиц гарантийных фондов проходят процедуру согласования в Национальном банке. Порядок согласования и отказа в согласовании кандидатур должностных лиц гарантийных фондов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Гарантийные фонды действуют на основании устава, который должен содержать перечень предоставляемых услуг/сделок и соответствовать требованиям, установленным Национальным банком. Основным видом деятельности гарантийных фондов является предоставление гарантий по обязательствам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гарантийных фондов без учетной регистрации Национального банка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 в соответствии с </w:t>
      </w:r>
      <w:hyperlink w:history="1" r:id="rIdsjoigtwlb6gfkkgigsi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лица, не отвечающие требованиям, предусмотренным настоящим Законом, не вправе заниматься гарантийной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thiu2fyjaisllvb6yl0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rc4rtapt7ifrsxrwm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-u59xgy_da5beswt9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получения разрешения на приобретение акций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Любое физическое или юридическое лицо, намеревающееся единолично или совместно с другими лицами приобрести в совокупности более 10 процентов акций в уставном капитале гарантийного фонда, в том числе путем дополнительного приобретения акций, обязано получить письменное 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получения разрешения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dmpbnfe1ewi1x0llzt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 управления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формируют органы управления в соответствии с </w:t>
      </w:r>
      <w:hyperlink w:history="1" r:id="rIdlfqk2hak2yw3hntxva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с учетом особенностей, предусмотренных настоящим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собрание акционеров - высший орган управления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директоров - орган управления фонда, осуществляющий общее руководство обществом в период между общими собраниями акционеров. Члены совета директоров фонда избираются общим собранием акционеров в порядке, предусмотренном </w:t>
      </w:r>
      <w:hyperlink w:history="1" r:id="rIdtixf9iv8nnveg1rnzof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уставом фонда, на срок не более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правление - орган, осуществляющий руководство текущей деятельностью фонда. Члены правления фонда избираются советом директоров фонда в порядке, предусмотренном </w:t>
      </w:r>
      <w:hyperlink w:history="1" r:id="rIdwuql8makvj9lhfyavg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уставом фонда, на срок не более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ревизионная комиссия - контрольный орган, осуществляющий контроль за финансово-хозяйственной деятельностью фонда. Избирается в соответствии с </w:t>
      </w:r>
      <w:hyperlink w:history="1" r:id="rIdwy7wom4skrzv3tzmxf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Деятельность, правовой статус и компетенция органов управления гарантийных фондов регулируются законодательством Кыргызской Республики с учетом особенностей, предусмотренных нормативными правовыми актами Национального банка, уставом и внутренними нормативными документами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устанавливает требования по деятельности в гарантийных фондах обязательных комитетов и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hzyzb6gyqvtdxi2kvdu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Объединения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своей деятельности, защиты и представления общих интересов, выполнения совместных гарантий и в других аналогичных целях гарантийные фонды могут создавать ассоциации или союзы.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Гарантийным фондам запрещается использовать ассоциации либо союзы в целях установления размеров комиссионного вознаграждения, взносов или в других целях, направленных на ограничение конкуренции, монополизацию рынка и ухудшение доступа </w:t>
      </w:r>
      <w:r>
        <w:rPr>
          <w:rFonts w:ascii="Arial" w:cs="Arial" w:eastAsia="Arial" w:hAnsi="Arial"/>
          <w:sz w:val="24"/>
          <w:szCs w:val="24"/>
        </w:rPr>
        <w:t xml:space="preserve">клиентов</w:t>
      </w:r>
      <w:r>
        <w:rPr>
          <w:rFonts w:ascii="Arial" w:cs="Arial" w:eastAsia="Arial" w:hAnsi="Arial"/>
          <w:sz w:val="24"/>
          <w:szCs w:val="24"/>
        </w:rPr>
        <w:t xml:space="preserve"> к кредитным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c8-wzf5wamo8z82bdkr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Филиалы и представительства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Филиалом гарантийного фонда является его обособленное подразделение, не являющееся юридическим лицом, расположенное вне места нахождения гарантийного фонда, осуществляющее все и/или часть операций на основании положения, утвержденного гарантийным фондом, и действующее в пределах полномочий, предоставленных ему гарантийным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гарантийным фондом уставный капитал, баланс, а также наименование, полностью совпадающее с наименованием гарантийного фонда,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гарантийного фонда является его обособленное подразделение, не являющееся юридическим лицом, осуществляющее защиту и представительство интересов гарантийного фонда, совершающее от его имени сделки и иные юридические действия, за исключением выдачи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филиалов и/или представительств гарантийных фондов рассматриваются как действия гарантийных фондов, причем создавший их гарантийный фонд несет полную ответственность за действия филиалов и/или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открытия филиалов и представительств гарантийных фондов регулируется Гражданским </w:t>
      </w:r>
      <w:hyperlink w:history="1" r:id="rIdrwwebv8sldrnb0w6_r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нормативными правовыми актами Национального банка.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Независимость гарантийных фондов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самостоятельно организуют и осуществляют свою деятельность в пределах компетенции, предоставленной им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их должностным лицам запрещается вмешательство в любой форме в решение вопросов, связанных с деятельностью гарантийных фондов, за исключением случаев,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вознаграждения за услуги устанавливается гарантийными фондами самостоятельно в соответствии с договором и/или соглашением, с учетом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eugkppppcpbiaq3rjmz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Капитал гарантийного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Собственный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и требования к собственному капиталу гарантийного фонда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Уставный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Минимальный размер уставного капитала гарантийного фонда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Доля участия каждого физического и юридического лица в уставном капитале гарантийного фонда не ограничена.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уставного капитала гарантийного фонда осуществляется в денежной форме. В состав уставного капитала входит только такой уставный капитал, по которому гарантийный фонд не имеет обязательств по возврату средств, вложенных участниками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вложенные участниками гарантийного фонда в уставный капитал гарантийного фонда, могут быть получены ими только путем продажи принадлежащих им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устанавливать гарантийному фонду ограничения или запрет на выплату дивидендов. Порядок и основания установления ограничений или запрета на выплату дивидендов устанавливаются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Уставный капитал гарантийного фонда может формироваться за счет средств местного бюджета, добровольных взносов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уставного капитала определяется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условия и порядок предоставления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Предоставление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предоставляется на часть обязательства клиента перед финансово-кредитной организацией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 в соответствии с политикой предоставления гарантий.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5gqk8dezvnl1b-8wsj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0fri921i2thalyh6f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Основные условия предоставления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Объем ответственности гарантийного фонда по заключенным договорам и/или соглашениям предоставления гарантии не должен превышать 50 процентов от объема основных обязательств (основной суммы финансирования) клиента перед финансово-кредитной организацией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Максимальный размер гарантии на одно лицо или группу связанных лиц определяется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механизм предоставления гарантий определяются соответствующим уполномоченным органом гарантийного фонда, предусмотренным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Гарантии предоставляются только в национальной валюте Кыргызской Республики, за исключением случаев, предусмотренных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 мультипликатора устанавливается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h3m467e5ambk77nhf6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l1dzzwaq5m6vlsxt7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за неисполнение или ненадлежащее исполнение клиентом обязательства, часть которого обеспечена гарантией, определяется политикой предоставления гарантий, соглашением о сотрудничестве с финансово-кредитными организациями</w:t>
      </w:r>
      <w:r>
        <w:rPr>
          <w:rFonts w:ascii="Arial" w:cs="Arial" w:eastAsia="Arial" w:hAnsi="Arial"/>
          <w:sz w:val="24"/>
          <w:szCs w:val="24"/>
        </w:rPr>
        <w:t xml:space="preserve">/международными финансовыми организациями</w:t>
      </w:r>
      <w:r>
        <w:rPr>
          <w:rFonts w:ascii="Arial" w:cs="Arial" w:eastAsia="Arial" w:hAnsi="Arial"/>
          <w:sz w:val="24"/>
          <w:szCs w:val="24"/>
        </w:rPr>
        <w:t xml:space="preserve"> и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исполнение обязательств клиента по финансированию в части уплаты процентов, неустойки, штрафа, пеней, комиссионных.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финансово-кредитной организацией/международной финансовой организацией соответствующего пакета документов, предусмотренного политикой предоставления гарантий, подтверждающего реализацию финансово-кредитной организацией/международной финансовой организацией необходимых мер по взысканию задолженности, предусмотренных политикой предоставления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предоставления полного пакета документов по реализации финансово-кредитной организацией/международной финансовой организацией необходимых мер по взысканию задолженности, перечень которых определен политикой предоставления гарантий, гарантийный фонд исполняет требования по гарантии в порядке и на условиях заключенного соглашения о сотрудничестве с финансово-кредитной организацией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исполнения гарантийным фондом требований, предусмотренных настоящей статьей, гарантийный фонд приобретает в регрессном порядке право требования к клиенту по возмещению суммы, выплаченной гарантийным фондом финансово-кредитной организации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организации</w:t>
      </w:r>
      <w:r>
        <w:rPr>
          <w:rFonts w:ascii="Arial" w:cs="Arial" w:eastAsia="Arial" w:hAnsi="Arial"/>
          <w:sz w:val="24"/>
          <w:szCs w:val="24"/>
        </w:rPr>
        <w:t xml:space="preserve"> по договору финансирования в объеме исполненных обязательств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9oi-ojdqnwh4j8my5d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ktei2v1lgxx02ev1n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Регулирование и надзор за деятельностью гарантийных фондов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Уполномоченный орган по регулированию и надзору за деятельностью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является уполномоченным органом по регулированию и надзору за деятельностью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принимает нормативные правовые акты по регистрации гарантийных фондов, регулированию и надзору за деятельностью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вправе устанавливать экономические нормативы, в том числе коэффициент мультипликатора, обязательные для исполнения гарантийными фондами, проверять деятельность гарантийных фондов, применять меры воздействия, предусмотренные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Виды, размеры экономических нормативов, требований, ограничений и методики их расчетов определяются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осуществляет проверку деятельности гарантийных фондов на основании требований и условий, установленных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Гарантийные фонды, участники гарантийных фондов, должностные лица и другие работники гарантийного фонда обязаны своевременно представлять отчеты, документы и любую другую информацию по требованию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Любые сведения, полученные гарантийными фондами в рамках взаимодействия с клиентами при выдаче гарантий или иным образом в связи с взаимоотношением гарантийного фонда с клиентом либо созданные гарантийным фондом, являются сведениями, относящимися к банковской тайне, и регламентируются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wndeozsynfibhmjtht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Надзор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осуществляет регулирование и надзор за деятельностью гарантийных фондов путем проведения внешнего надзора и инспекторских проверок на местах.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Учет и отчетность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обязан вести учет и отчетность в соответствии с законодательством Кыргызской Республики о бухгалтерском учете, международными стандартами финансовой отчетности и учетной политикой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политика гарантийного фонда должна включать в себя общие принципы бухгалтерского учета, методы и правила организации бухгалтерского учета. Если осуществляется надзор за финансовой группой, гарантийный фонд должен сформировать общую (консолидированную) учетную политику группы с учетом требований Национального банка. Национальный банк вправе устанавливать случаи неприменения требований консолидированного надзора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Гарантийный фонд обязан обеспечивать хранение документов, используемых в бухгалтерском учете и при составлении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основных документов, подлежащих хранению, и сроки их хранения устанавливаются законодательством Кыргызской Республики в сфере архивного 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Система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гарантийному фонду по организации и функционированию системы внутреннего контроля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Аудит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гарантийного фонда подлежит ежегодной внешней аудиторской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проведению внешнего аудита и к аудиторской организации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Резервы, создаваемые гарантийным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своевременного покрытия убытков, связанных с осуществлением гарантийной деятельности, гарантийный фонд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 регулятивных целях вправе определять размер, порядок формирования и методы расчета резервов, создаваемых гарантийным фондом на случай покрытия убытков по активам, несущим кредитные и иные риски, относимых на затраты гарантийным фондом.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применяет меры воздействия к гарантийному фонду и его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применения Национальным банком мер воздействия являются оперативное реагирование, корректировка и устранение проблем для поддержания стабильности и устойчивости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воздействия применяются Национальным банком по основаниям в случаях и порядке, которые предусмотрены законодательством Кыргызской Республики в сфере Национального банка, банков и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самостоятельно определяет целесообразность, виды мер воздействия и порядок применения мер воздействия к гарантийному фонду и их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устанавливает признаки нездоровой и небезопасной деятельности гарантийных фондов и определяет причастность к ней гарантийных фондов и их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публикует информацию о принятых мерах воздействия в отношении гарантийных фондов, а также о любом изменении или прекращении таких мер, кроме случаев, когда публикация может нанести ущерб интересам кредиторов гарантийного фонда, стабильности, безопасности и целостности финансовой системы Кыргызской Республики, а также других случаев, установленных нормативными правовыми актами Национального банка. Сроки и порядок опубликования указанной информации устанавливаются Национальным банком. Публикация подобной информации не является раскрытием банковской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Национального банка о применении к гарантийному фонду мер воздействия могут быть обжалованы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Информация и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вправе требовать и получать любую информацию, которая находится в распоряжении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процессе исполнения Национальным банком своих полномочий, не может предоставляться третьей стороне, за исключением случаев,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Реорганизация и/или ликвидация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может быть реорганизован (слияние, присоединение, разделение, выделение), ликвидирован при соблюдении требований, установленных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ликвидации активы гарантийного фонда подлежат распределению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uluzyi0v033pnxxsjzk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апреля 2019 года N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Гарантийным фондам Кыргызской Республики в шестимесячный срок со дня вступления в силу настоящего Закона привести свою деятельность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utqkjsgm3d8smdxdi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от 30 июля 2013 года № 167 (Ведомости Жогорку Кенеша Кыргызской Республики, 2013 г., № 7, ст.924);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j8qlybkovanmqsrpo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gqvnkd5ne4ct3odhr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от 26 октября 2016 года № 172 (Ведомости Жогорку Кенеша Кыргызской Республики, 2016 г., № 9, ст.949).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ech-kaomacv4lflfj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dalil.kg/document/111890</w:t>
      </w:r>
    </w:hyperlink>
  </w:p>
  <w:p>
    <w:pPr>
      <w:spacing w:after="0" w:before="40"/>
      <w:jc w:val="center"/>
    </w:pPr>
    <w:hyperlink w:history="1" r:id="rIdoxelsvn98kydmixaann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gwuwps-ukdzo1lz38vh" Type="http://schemas.openxmlformats.org/officeDocument/2006/relationships/hyperlink" Target="https://dalil.kg/document/112422" TargetMode="External"/><Relationship Id="rIdroom9rgt1bqtwpi82oaem" Type="http://schemas.openxmlformats.org/officeDocument/2006/relationships/hyperlink" Target="https://dalil.kg/document/230004823" TargetMode="External"/><Relationship Id="rIdpmkvintcdkniieypupqxv" Type="http://schemas.openxmlformats.org/officeDocument/2006/relationships/hyperlink" Target="https://dalil.kg/document/230021352" TargetMode="External"/><Relationship Id="rIdxzbjcloofeyhd7-yc2ekl" Type="http://schemas.openxmlformats.org/officeDocument/2006/relationships/hyperlink" Target="https://dalil.kg/document/230021352" TargetMode="External"/><Relationship Id="rIdk1xfid84dfichqro1ilro" Type="http://schemas.openxmlformats.org/officeDocument/2006/relationships/hyperlink" Target="https://dalil.kg/document/230021352" TargetMode="External"/><Relationship Id="rIdmyko0h1goetrr-wa7urxz" Type="http://schemas.openxmlformats.org/officeDocument/2006/relationships/hyperlink" Target="https://dalil.kg/document/112428" TargetMode="External"/><Relationship Id="rIdfn2ex4uyc0ouqwjufjekj" Type="http://schemas.openxmlformats.org/officeDocument/2006/relationships/hyperlink" Target="https://dalil.kg/document/112422" TargetMode="External"/><Relationship Id="rIdnfd_jgnwasocucihdggy5" Type="http://schemas.openxmlformats.org/officeDocument/2006/relationships/hyperlink" Target="https://dalil.kg/document/230004823" TargetMode="External"/><Relationship Id="rIdenu_swtxtedt3kzncvuku" Type="http://schemas.openxmlformats.org/officeDocument/2006/relationships/hyperlink" Target="https://dalil.kg/document/230021352" TargetMode="External"/><Relationship Id="rIdsjoigtwlb6gfkkgigsiw9" Type="http://schemas.openxmlformats.org/officeDocument/2006/relationships/hyperlink" Target="https://dalil.kg/document/112422" TargetMode="External"/><Relationship Id="rIdthiu2fyjaisllvb6yl0ay" Type="http://schemas.openxmlformats.org/officeDocument/2006/relationships/hyperlink" Target="https://dalil.kg/document/112422" TargetMode="External"/><Relationship Id="rIdaxrc4rtapt7ifrsxrwm2t" Type="http://schemas.openxmlformats.org/officeDocument/2006/relationships/hyperlink" Target="https://dalil.kg/document/230004823" TargetMode="External"/><Relationship Id="rIdjx-u59xgy_da5beswt9qx" Type="http://schemas.openxmlformats.org/officeDocument/2006/relationships/hyperlink" Target="https://dalil.kg/document/230021352" TargetMode="External"/><Relationship Id="rIdkdmpbnfe1ewi1x0llztcp" Type="http://schemas.openxmlformats.org/officeDocument/2006/relationships/hyperlink" Target="https://dalil.kg/document/112422" TargetMode="External"/><Relationship Id="rIdlfqk2hak2yw3hntxvappr" Type="http://schemas.openxmlformats.org/officeDocument/2006/relationships/hyperlink" Target="https://dalil.kg/document/1188" TargetMode="External"/><Relationship Id="rIdtixf9iv8nnveg1rnzofra" Type="http://schemas.openxmlformats.org/officeDocument/2006/relationships/hyperlink" Target="https://dalil.kg/document/1188" TargetMode="External"/><Relationship Id="rIdwuql8makvj9lhfyavghqa" Type="http://schemas.openxmlformats.org/officeDocument/2006/relationships/hyperlink" Target="https://dalil.kg/document/1188" TargetMode="External"/><Relationship Id="rIdwy7wom4skrzv3tzmxfi5o" Type="http://schemas.openxmlformats.org/officeDocument/2006/relationships/hyperlink" Target="https://dalil.kg/document/1188" TargetMode="External"/><Relationship Id="rIdhzyzb6gyqvtdxi2kvduhf" Type="http://schemas.openxmlformats.org/officeDocument/2006/relationships/hyperlink" Target="https://dalil.kg/document/112422" TargetMode="External"/><Relationship Id="rIdc8-wzf5wamo8z82bdkryn" Type="http://schemas.openxmlformats.org/officeDocument/2006/relationships/hyperlink" Target="https://dalil.kg/document/112422" TargetMode="External"/><Relationship Id="rIdrwwebv8sldrnb0w6_rzkf" Type="http://schemas.openxmlformats.org/officeDocument/2006/relationships/hyperlink" Target="https://dalil.kg/document/4" TargetMode="External"/><Relationship Id="rIdeugkppppcpbiaq3rjmzml" Type="http://schemas.openxmlformats.org/officeDocument/2006/relationships/hyperlink" Target="https://dalil.kg/document/112422" TargetMode="External"/><Relationship Id="rIdz5gqk8dezvnl1b-8wsjrt" Type="http://schemas.openxmlformats.org/officeDocument/2006/relationships/hyperlink" Target="https://dalil.kg/document/112422" TargetMode="External"/><Relationship Id="rIdcz0fri921i2thalyh6fs2" Type="http://schemas.openxmlformats.org/officeDocument/2006/relationships/hyperlink" Target="https://dalil.kg/document/230021352" TargetMode="External"/><Relationship Id="rIdmh3m467e5ambk77nhf67p" Type="http://schemas.openxmlformats.org/officeDocument/2006/relationships/hyperlink" Target="https://dalil.kg/document/112422" TargetMode="External"/><Relationship Id="rIdnal1dzzwaq5m6vlsxt7kw" Type="http://schemas.openxmlformats.org/officeDocument/2006/relationships/hyperlink" Target="https://dalil.kg/document/230021352" TargetMode="External"/><Relationship Id="rIdd9oi-ojdqnwh4j8my5dqk" Type="http://schemas.openxmlformats.org/officeDocument/2006/relationships/hyperlink" Target="https://dalil.kg/document/112422" TargetMode="External"/><Relationship Id="rIdmnktei2v1lgxx02ev1nw1" Type="http://schemas.openxmlformats.org/officeDocument/2006/relationships/hyperlink" Target="https://dalil.kg/document/230021352" TargetMode="External"/><Relationship Id="rIdowndeozsynfibhmjtht7t" Type="http://schemas.openxmlformats.org/officeDocument/2006/relationships/hyperlink" Target="https://dalil.kg/document/112422" TargetMode="External"/><Relationship Id="rIduluzyi0v033pnxxsjzk-p" Type="http://schemas.openxmlformats.org/officeDocument/2006/relationships/hyperlink" Target="https://dalil.kg/document/112422" TargetMode="External"/><Relationship Id="rIdnutqkjsgm3d8smdxdilnl" Type="http://schemas.openxmlformats.org/officeDocument/2006/relationships/hyperlink" Target="https://dalil.kg/document/203976" TargetMode="External"/><Relationship Id="rIdxj8qlybkovanmqsrpoybp" Type="http://schemas.openxmlformats.org/officeDocument/2006/relationships/hyperlink" Target="https://dalil.kg/document/111451" TargetMode="External"/><Relationship Id="rIdxgqvnkd5ne4ct3odhrzgm" Type="http://schemas.openxmlformats.org/officeDocument/2006/relationships/hyperlink" Target="https://dalil.kg/document/203976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ech-kaomacv4lflfjft" Type="http://schemas.openxmlformats.org/officeDocument/2006/relationships/hyperlink" Target="https://dalil.kg/document/111890" TargetMode="External"/><Relationship Id="rIdoxelsvn98kydmixaann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2026-09-24T08:18:26.143Z</dcterms:created>
  <dcterms:modified xsi:type="dcterms:W3CDTF">2026-09-24T08:18:26.143Z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