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2019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"Об экспортном контроле", "О лицензионно-разрешительной системе в Кыргызской Республике")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14 марта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mw7yrrlxyqapvasplx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экспортном контроле" (Ведомости Жогорку Кенеша Кыргызской Республики, 2003 г., № 3, ст.135)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после слова "контроля" дополнить словами "контролируемой продукции";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c5kqu12pbmnq-jzlrtl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после слова "инвестиционная" дополнить словом ", брокерская";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четвертый после слова "товары," дополнить словами "включая технологии и программное обеспечение,";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абзацы пятый-седьмой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"экспорт и импорт - вывоз и ввоз контролируемой продукции с территории и на территорию Кыргызской Республики. Передача технологий с помощью технических средств с использованием информационно-коммуникационных технологий с территории и на территорию Кыргызской Республики также приравнивается к экспорту (импорту);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реэкспорт - экспорт контролируемой продукции, произведенной за пределами страны, ранее ввезенной на территорию Кыргызской Республики и не подвергшейся переработке;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транзит - перемещение контролируемой продукции через территорию Кыргызской Республики, перевозка (транспортировка) которой началась и должна закончиться за пределами территории Кыргызской Республики (за исключением международных транзитных полетов воздушных судов без посадки на территории Кыргызской Республики);";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hyperlink w:history="1" r:id="rIdtc-l9qhzt2rvq7ezwed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шестнадцатым - двадцать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"брокерская деятельность - оказание услуг по совершению сделок купли-продажи, поставке контролируемой продукции, а также по ведению переговоров, подготовке контрактов или организации передачи контролируемой продукции, включая финансовые и транспортные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- деятельность, направленная на удовлетворение потребностей третьих лиц, включая брокерскую деятельность, техническую помощь и транспортировку контролируемой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- установление принадлежности (соответствия) товаров, информации, работ, услуг, результатов интеллектуальной деятельности к контролируемой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техническая помощь - оказание технической поддержки, связанной с контролируемой продукцией и технологиями;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технология - научно-техническая информация и другие результаты интеллектуальной деятельности (права на них), выраженные в форме моделей, прототипов, чертежей, диаграмм, проектов, инструкций, программных продуктов либо в неосязаемой форме - обучение, техническое обеспечение (обслуживание), необходимые для разработки, производства или использования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материалы, относящиеся к ядерному, химическому и биологическому оружию и средствам его доставки, - материалы, оборудование и технологии, подпадающие под действие соответствующих многосторонних (международных) договоров и договоренностей (в области нераспространения оружия массового поражения) или включенные в национальные контрольные списки, которые могут быть использованы для проектирования, разработки, производства или применения ядерного, химического и биологического оружия и средств его доставки.";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asvuac_jqrelevsf-pb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Закон применяется и в тех случаях, когда действия (соглашения), совершаемые (заключаемые) государственными органами и организациями, юридическими и физическими лицами за пределами Кыргызской Республики, могут способствовать распространению оружия массового поражения, средств его доставки, технологий создания оружия массового поражения и средств его доставки или могут нанести ущерб национальной безопасности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2 </w:t>
      </w:r>
      <w:hyperlink w:history="1" r:id="rIdtyhcdv-nlt5zsak8j9g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седьмым и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"гармонизация процедур и методов осуществления экспортного контроля с общепризнанными международными нормами и практикой;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экспортного контроля только в той мере, в какой это необходимо для достижения его целей;";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gy27tey1leahqmdoto2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vfu3xdnecxgpskmnq1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</w:hyperlink>
      <w:r>
        <w:rPr>
          <w:rFonts w:ascii="Arial" w:cs="Arial" w:eastAsia="Arial" w:hAnsi="Arial"/>
          <w:sz w:val="24"/>
          <w:szCs w:val="24"/>
        </w:rPr>
        <w:t xml:space="preserve">. Национальный контрольный список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контрольный список Кыргызской Республики контролируемой продукции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Обновление Национального контрольного списка Кыргызской Республики контролируемой продукции осуществляется не реже одного раза в течение двух лет, с момента последнего его обновления, и в соответствии с изменениями в контрольных списках международных режимов экспортного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Контролируемая продукция, включенная в Национальный контрольный список Кыргызской Республики, подлежит экспортному контролю и идентификации независимо от форм собственности, места происхождения и времени ее производства. Проведение идентификации является обязанностью участников внешнеэкономической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внешнеэкономической деятельности вправе поручить проведение идентификации контролируемой продукции организации, получившей в установленном Правительством Кыргызской Республики порядке специальное разрешение на осуществление деятельности по идентификации контролируемой продукции посредством заключения соответствующего договора. В этом случае ответственность за правильность и обоснованность результатов идентификации контролируемой продукции несет экспертная организация.";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prw-tbxs5cmwsjcie4e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после слова "соответствия" дополнить словом "(идентификация)";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"разрешительный порядок осуществления внешнеэкономических операций с контролируемой продукцией, предусматривающий лицензирование или иную форму его государственного регулирования;";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mkfnh3fttl9n_xg1i44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"обмен информацией и иное взаимодействие с уполномоченными органами по экспортному контролю иностранных государств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обновление Национального контрольного списка Кыргызской Республики контролируемой продукции и товаров (работ, услуг) с учетом общепризнанных норм международного права и практики;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государственных гарантий, в том числе в виде сертификатов конечного пользователя, в отношении использования импортируемой в Кыргызскую Республику контролируемой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всеобъемлющий контроль;";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v_0w--tioxqp5pnysdb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"по согласованию с профильным комитетом Жогорку Кенеша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абзацами седьмым-девятым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"устанавливает порядок проведения идентификации контролируемой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создает межведомственную комиссию по экспортному контролю, утверждает положение о ней и ее состав;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порядок организации государственного контроля за выполнением обязательств по использованию импортированных (экспортированных) специфических товаров (работ, услуг) в заявленных целях;";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третьем части 2 слово "корректировке" заменить словом "обновлению";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2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"разрабатывают и вносят на рассмотрение Правительства Кыргызской Республики порядок проведения идентификации контролируемой продукции;";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zfbjymlhffltx3yvhgl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"Всеобъемлющий контроль: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 внешнеэкономической деятельности запрещается заключать внешнеэкономические сделки с товарами, технологиями, программным обеспечением, результатами интеллектуальной деятельности, работами, услугами или участвовать в них любым иным образом в случае, если им известно, что данная продукция и результаты интеллектуальной деятельности, работы, услуги будут использованы иностранным государством либо иностранными юридическими, физическими лицами для целей создания, производства или использования оружия массового поражения и средств его доставки либо для подготовки и (или) совершения террористических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внешнеэкономической деятельности обязаны получить в установленном порядке лицензию и (или) разрешение уполномоченного органа на осуществление внешнеэкономических сделок с товарами, технологиями, программным обеспечением, результатами интеллектуальной деятельности, работами, услугами, не подпадающими под действие статьи 6 настоящего Закона, в тех случаях, когда: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участники внешнеэкономической деятельности проинформированы уполномоченным органом или иным государственным органом Кыргызской Республики о том, что данная продукция и результаты интеллектуальной деятельности могут быть использованы в целях создания оружия массового уничтожения и (или) средств его доставки;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участники внешнеэкономической деятельности осознают, что данная продукция и результаты интеллектуальной деятельности могут быть использованы в целях создания оружия массового уничтожения и (или) средств его доставки.";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4arnmyj9sqb8tkpr8v-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7 и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"Передача контролируемой продукции между субъектами внутри республики допускается при наличии соответствующего разрешения, выданного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выдачи разрешения на передачу контролируемой продукции между субъектами внутри республики определяются в соответствии с Порядком осуществления экспортного контроля за контролируемой продукцией в Кыргызской Республике, утвержденным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абзац второй части 1 </w:t>
      </w:r>
      <w:hyperlink w:history="1" r:id="rIdnx48ef2jhaglps6u0zp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"осуществление несанкционированных внешнеэкономических сделок по экспорту, импорту, реэкспорту контролируемой продукции, а также ее транзит через территорию Кыргызской Республики и оказание услуг без соответствующего разрешения;";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t5wo9mfeqr4pynly98i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b16fy-nc1-cguxc1gn0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nzq01x63fbvyibwhrw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15-1</w:t>
        </w:r>
      </w:hyperlink>
      <w:r>
        <w:rPr>
          <w:rFonts w:ascii="Arial" w:cs="Arial" w:eastAsia="Arial" w:hAnsi="Arial"/>
          <w:sz w:val="24"/>
          <w:szCs w:val="24"/>
        </w:rPr>
        <w:t xml:space="preserve">. Обжалование решений, действий (бездействия) государственных органов и организаций, осуществляющих полномочия в области экспортного контроля, и их должностных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внешнеэкономической деятельности вправе обжаловать решения, действия (бездействие) государственных органов и организаций, осуществляющих полномочия в области экспортного контроля, и их должностных лиц при осуществлении полномочий в области экспортного контроля, нарушающие их права и законные интересы в порядке, предусмотренном законодательством Кыргызской Республики об основах административной деятельности и административных процедурах.".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e3vfuuawbdud4xgc8s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34 </w:t>
      </w:r>
      <w:hyperlink w:history="1" r:id="rId7fdhsunir8wbgm20tbl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"34) право проведения идентификации контролируемой продукции, транзит через территорию Кыргызской Республики товаров, а также передача товаров внутри республики, включенных в Национальный контрольный список Кыргызской Республики контролируемой продукции, утверждаемый Правительством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 мая 2019 года N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меры, вытекающие из настоящего Закона, 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mw7yrrlxyqapvasplx_n" Type="http://schemas.openxmlformats.org/officeDocument/2006/relationships/hyperlink" Target="http://kodeks.duckdns.org/document/1154" TargetMode="External"/><Relationship Id="rIdc5kqu12pbmnq-jzlrtlyr" Type="http://schemas.openxmlformats.org/officeDocument/2006/relationships/hyperlink" Target="http://kodeks.duckdns.org/document/1154#st_1" TargetMode="External"/><Relationship Id="rIdtc-l9qhzt2rvq7ezwedkv" Type="http://schemas.openxmlformats.org/officeDocument/2006/relationships/hyperlink" Target="http://kodeks.duckdns.org/document/1154#st_1" TargetMode="External"/><Relationship Id="rIdasvuac_jqrelevsf-pbr0" Type="http://schemas.openxmlformats.org/officeDocument/2006/relationships/hyperlink" Target="http://kodeks.duckdns.org/document/1154#st_2" TargetMode="External"/><Relationship Id="rIdtyhcdv-nlt5zsak8j9gik" Type="http://schemas.openxmlformats.org/officeDocument/2006/relationships/hyperlink" Target="http://kodeks.duckdns.org/document/1154#st_5" TargetMode="External"/><Relationship Id="rIdgy27tey1leahqmdoto2e0" Type="http://schemas.openxmlformats.org/officeDocument/2006/relationships/hyperlink" Target="http://kodeks.duckdns.org/document/1154#st_6" TargetMode="External"/><Relationship Id="rIdmvfu3xdnecxgpskmnq1us" Type="http://schemas.openxmlformats.org/officeDocument/2006/relationships/hyperlink" Target="http://kodeks.duckdns.org/document/1154#st_6" TargetMode="External"/><Relationship Id="rIdprw-tbxs5cmwsjcie4eyp" Type="http://schemas.openxmlformats.org/officeDocument/2006/relationships/hyperlink" Target="http://kodeks.duckdns.org/document/1154#st_7" TargetMode="External"/><Relationship Id="rIdmkfnh3fttl9n_xg1i44rd" Type="http://schemas.openxmlformats.org/officeDocument/2006/relationships/hyperlink" Target="http://kodeks.duckdns.org/document/1154#st_7" TargetMode="External"/><Relationship Id="rIdv_0w--tioxqp5pnysdb36" Type="http://schemas.openxmlformats.org/officeDocument/2006/relationships/hyperlink" Target="http://kodeks.duckdns.org/document/1154#st_8" TargetMode="External"/><Relationship Id="rIdzfbjymlhffltx3yvhgljg" Type="http://schemas.openxmlformats.org/officeDocument/2006/relationships/hyperlink" Target="http://kodeks.duckdns.org/document/1154#st_9" TargetMode="External"/><Relationship Id="rId4arnmyj9sqb8tkpr8v-7s" Type="http://schemas.openxmlformats.org/officeDocument/2006/relationships/hyperlink" Target="http://kodeks.duckdns.org/document/1154#st_10" TargetMode="External"/><Relationship Id="rIdnx48ef2jhaglps6u0zptw" Type="http://schemas.openxmlformats.org/officeDocument/2006/relationships/hyperlink" Target="http://kodeks.duckdns.org/document/1154#st_14" TargetMode="External"/><Relationship Id="rIdt5wo9mfeqr4pynly98ie2" Type="http://schemas.openxmlformats.org/officeDocument/2006/relationships/hyperlink" Target="http://kodeks.duckdns.org/document/1154" TargetMode="External"/><Relationship Id="rIdb16fy-nc1-cguxc1gn0zj" Type="http://schemas.openxmlformats.org/officeDocument/2006/relationships/hyperlink" Target="http://kodeks.duckdns.org/document/1154#st_15_1" TargetMode="External"/><Relationship Id="rIdmnzq01x63fbvyibwhrwdv" Type="http://schemas.openxmlformats.org/officeDocument/2006/relationships/hyperlink" Target="http://kodeks.duckdns.org/document/1154#st_15_1" TargetMode="External"/><Relationship Id="rId1e3vfuuawbdud4xgc8svp" Type="http://schemas.openxmlformats.org/officeDocument/2006/relationships/hyperlink" Target="http://kodeks.duckdns.org/document/205058" TargetMode="External"/><Relationship Id="rId7fdhsunir8wbgm20tblwe" Type="http://schemas.openxmlformats.org/officeDocument/2006/relationships/hyperlink" Target="http://kodeks.duckdns.org/document/205058#st_17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2026-09-23T00:33:51.860Z</dcterms:created>
  <dcterms:modified xsi:type="dcterms:W3CDTF">2026-09-23T00:33:51.860Z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