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l_xcelzq68hr6sgoqook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2019 года № 103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6cmevxstsawji12kg4m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ст.992) следующее изменение:</w:t>
      </w:r>
    </w:p>
    <w:p>
      <w:pPr>
        <w:spacing w:after="120"/>
        <w:ind w:firstLine="567"/>
        <w:jc w:val="both"/>
      </w:pPr>
      <w:hyperlink w:history="1" r:id="rIdjfhwjb_j9ccrmrwwnvr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2cpwr5rmwn4u1dplvdq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251-5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gsoaymzlc2iz9rmpj_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251-5</w:t>
        </w:r>
      </w:hyperlink>
      <w:r>
        <w:rPr>
          <w:rFonts w:ascii="Arial" w:cs="Arial" w:eastAsia="Arial" w:hAnsi="Arial"/>
          <w:sz w:val="24"/>
          <w:szCs w:val="24"/>
        </w:rPr>
        <w:t xml:space="preserve">. Поставка частными медицинскими организациями услуг гемодиализа лицам с хронической почечной недостаточностью в терминальной стадии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частными медицинскими организациями услуг гемодиализа лицам с хронической почечной недостаточностью в терминальной стадии является поставкой, освобожденной от НДС.".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_xcelzq68hr6sgoqooky" Type="http://schemas.openxmlformats.org/officeDocument/2006/relationships/hyperlink" Target="http://kodeks.duckdns.org/document/112342" TargetMode="External"/><Relationship Id="rId6cmevxstsawji12kg4mkw" Type="http://schemas.openxmlformats.org/officeDocument/2006/relationships/hyperlink" Target="http://kodeks.duckdns.org/document/202445" TargetMode="External"/><Relationship Id="rIdjfhwjb_j9ccrmrwwnvrty" Type="http://schemas.openxmlformats.org/officeDocument/2006/relationships/hyperlink" Target="http://kodeks.duckdns.org/document/202445" TargetMode="External"/><Relationship Id="rId2cpwr5rmwn4u1dplvdqhw" Type="http://schemas.openxmlformats.org/officeDocument/2006/relationships/hyperlink" Target="http://kodeks.duckdns.org/document/202445#st_251_5" TargetMode="External"/><Relationship Id="rId7gsoaymzlc2iz9rmpj_g7" Type="http://schemas.openxmlformats.org/officeDocument/2006/relationships/hyperlink" Target="http://kodeks.duckdns.org/document/202445#st_251_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2026-09-23T02:54:15.560Z</dcterms:created>
  <dcterms:modified xsi:type="dcterms:W3CDTF">2026-09-23T02:54:15.560Z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