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8 августа 2019 года № 118</w:t>
      </w:r>
    </w:p>
    <w:p>
      <w:pPr>
        <w:spacing w:after="400" w:before="400"/>
        <w:jc w:val="center"/>
      </w:pPr>
      <w:r>
        <w:rPr>
          <w:rFonts w:ascii="Arial" w:cs="Arial" w:eastAsia="Arial" w:hAnsi="Arial"/>
          <w:b/>
          <w:bCs/>
          <w:sz w:val="28"/>
          <w:szCs w:val="28"/>
        </w:rPr>
        <w:t xml:space="preserve">О внесения изменений в некоторые законодательные акты Кыргызской Республики (в законы Кыргызской Республики "О местном самоуправлении", "О статусе депутатов местных кенешей", "О статусе столицы", "О статусе города Ош")</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27 июня 2019 года</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(В редакции Закона КР от </w:t>
      </w:r>
      <w:hyperlink w:history="1" r:id="rIdfflhxdp5dqhnnkwsjp8ri">
        <w:r>
          <w:rPr>
            <w:rFonts w:ascii="Arial" w:cs="Arial" w:eastAsia="Arial" w:hAnsi="Arial"/>
            <w:color w:val="1D4ED8"/>
            <w:sz w:val="24"/>
            <w:szCs w:val="24"/>
            <w:u w:val="single"/>
          </w:rPr>
          <w:t xml:space="preserve">20 октября 2021 года № 123</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fq3ydf_ylcu1g_3-yx7t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октября 2021 года № 123) </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w:t>
      </w:r>
      <w:hyperlink w:history="1" r:id="rIdbo93mzfmz5dmqaolmtow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депутатов местных кенешей" (Ведомости Жогорку Кенеша Кыргызской Республики, 2000 г., № 5, ст.228) следующее изменение:</w:t>
      </w:r>
    </w:p>
    <w:p>
      <w:pPr>
        <w:spacing w:after="60"/>
        <w:ind w:firstLine="567"/>
        <w:jc w:val="both"/>
      </w:pPr>
      <w:hyperlink w:history="1" r:id="rIdxcxrxtf1oryzngroeedjj">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nijfydujfavlvddjx_jfk">
        <w:r>
          <w:rPr>
            <w:rFonts w:ascii="Arial" w:cs="Arial" w:eastAsia="Arial" w:hAnsi="Arial"/>
            <w:color w:val="1D4ED8"/>
            <w:sz w:val="24"/>
            <w:szCs w:val="24"/>
            <w:u w:val="single"/>
          </w:rPr>
          <w:t xml:space="preserve">Статья 3</w:t>
        </w:r>
      </w:hyperlink>
      <w:r>
        <w:rPr>
          <w:rFonts w:ascii="Arial" w:cs="Arial" w:eastAsia="Arial" w:hAnsi="Arial"/>
          <w:sz w:val="24"/>
          <w:szCs w:val="24"/>
        </w:rPr>
        <w:t xml:space="preserve">. Досрочное прекращение полномочий депутата</w:t>
      </w:r>
    </w:p>
    <w:p>
      <w:pPr>
        <w:spacing w:after="60"/>
        <w:ind w:firstLine="567"/>
        <w:jc w:val="both"/>
      </w:pPr>
      <w:r>
        <w:rPr>
          <w:rFonts w:ascii="Arial" w:cs="Arial" w:eastAsia="Arial" w:hAnsi="Arial"/>
          <w:sz w:val="24"/>
          <w:szCs w:val="24"/>
        </w:rPr>
        <w:t xml:space="preserve">Основаниями для досрочного прекращения полномочий депутата местного кенеша являются:</w:t>
      </w:r>
    </w:p>
    <w:p>
      <w:pPr>
        <w:spacing w:after="60"/>
        <w:ind w:firstLine="567"/>
        <w:jc w:val="both"/>
      </w:pPr>
      <w:r>
        <w:rPr>
          <w:rFonts w:ascii="Arial" w:cs="Arial" w:eastAsia="Arial" w:hAnsi="Arial"/>
          <w:sz w:val="24"/>
          <w:szCs w:val="24"/>
        </w:rPr>
        <w:t xml:space="preserve">1) подача им письменного заявления о сложении депутатских полномочий или выходе из фракции;</w:t>
      </w:r>
    </w:p>
    <w:p>
      <w:pPr>
        <w:spacing w:after="60"/>
        <w:ind w:firstLine="567"/>
        <w:jc w:val="both"/>
      </w:pPr>
      <w:r>
        <w:rPr>
          <w:rFonts w:ascii="Arial" w:cs="Arial" w:eastAsia="Arial" w:hAnsi="Arial"/>
          <w:sz w:val="24"/>
          <w:szCs w:val="24"/>
        </w:rPr>
        <w:t xml:space="preserve">2) выход из гражданства, утрата гражданства Кыргызской Республики, выявление факта наличия иного гражданства либо приобретение иного гражданства;</w:t>
      </w:r>
    </w:p>
    <w:p>
      <w:pPr>
        <w:spacing w:after="60"/>
        <w:ind w:firstLine="567"/>
        <w:jc w:val="both"/>
      </w:pPr>
      <w:r>
        <w:rPr>
          <w:rFonts w:ascii="Arial" w:cs="Arial" w:eastAsia="Arial" w:hAnsi="Arial"/>
          <w:sz w:val="24"/>
          <w:szCs w:val="24"/>
        </w:rPr>
        <w:t xml:space="preserve">3) переход на работу или неоставление им работы, не совместимой с выполнением депутатских полномочий;</w:t>
      </w:r>
    </w:p>
    <w:p>
      <w:pPr>
        <w:spacing w:after="60"/>
        <w:ind w:firstLine="567"/>
        <w:jc w:val="both"/>
      </w:pPr>
      <w:r>
        <w:rPr>
          <w:rFonts w:ascii="Arial" w:cs="Arial" w:eastAsia="Arial" w:hAnsi="Arial"/>
          <w:sz w:val="24"/>
          <w:szCs w:val="24"/>
        </w:rPr>
        <w:t xml:space="preserve">4) избрание его депутатом другого кенеша;</w:t>
      </w:r>
    </w:p>
    <w:p>
      <w:pPr>
        <w:spacing w:after="60"/>
        <w:ind w:firstLine="567"/>
        <w:jc w:val="both"/>
      </w:pPr>
      <w:r>
        <w:rPr>
          <w:rFonts w:ascii="Arial" w:cs="Arial" w:eastAsia="Arial" w:hAnsi="Arial"/>
          <w:sz w:val="24"/>
          <w:szCs w:val="24"/>
        </w:rPr>
        <w:t xml:space="preserve">5) прекращение членства депутата в местном сообществе соответствующей административно-территориальной единицы;</w:t>
      </w:r>
    </w:p>
    <w:p>
      <w:pPr>
        <w:spacing w:after="60"/>
        <w:ind w:firstLine="567"/>
        <w:jc w:val="both"/>
      </w:pPr>
      <w:r>
        <w:rPr>
          <w:rFonts w:ascii="Arial" w:cs="Arial" w:eastAsia="Arial" w:hAnsi="Arial"/>
          <w:sz w:val="24"/>
          <w:szCs w:val="24"/>
        </w:rPr>
        <w:t xml:space="preserve">6) признание выборов недействительными;</w:t>
      </w:r>
    </w:p>
    <w:p>
      <w:pPr>
        <w:spacing w:after="60"/>
        <w:ind w:firstLine="567"/>
        <w:jc w:val="both"/>
      </w:pPr>
      <w:r>
        <w:rPr>
          <w:rFonts w:ascii="Arial" w:cs="Arial" w:eastAsia="Arial" w:hAnsi="Arial"/>
          <w:sz w:val="24"/>
          <w:szCs w:val="24"/>
        </w:rPr>
        <w:t xml:space="preserve">7) выезд на постоянное жительство за пределы Кыргызской Республики;</w:t>
      </w:r>
    </w:p>
    <w:p>
      <w:pPr>
        <w:spacing w:after="60"/>
        <w:ind w:firstLine="567"/>
        <w:jc w:val="both"/>
      </w:pPr>
      <w:r>
        <w:rPr>
          <w:rFonts w:ascii="Arial" w:cs="Arial" w:eastAsia="Arial" w:hAnsi="Arial"/>
          <w:sz w:val="24"/>
          <w:szCs w:val="24"/>
        </w:rPr>
        <w:t xml:space="preserve">8) признание судом депутата недееспособным или безвестно отсутствующим, а также объявление его умершим;</w:t>
      </w:r>
    </w:p>
    <w:p>
      <w:pPr>
        <w:spacing w:after="60"/>
        <w:ind w:firstLine="567"/>
        <w:jc w:val="both"/>
      </w:pPr>
      <w:r>
        <w:rPr>
          <w:rFonts w:ascii="Arial" w:cs="Arial" w:eastAsia="Arial" w:hAnsi="Arial"/>
          <w:sz w:val="24"/>
          <w:szCs w:val="24"/>
        </w:rPr>
        <w:t xml:space="preserve">9) вступление в законную силу обвинительного приговора суда в отношении него;</w:t>
      </w:r>
    </w:p>
    <w:p>
      <w:pPr>
        <w:spacing w:after="60"/>
        <w:ind w:firstLine="567"/>
        <w:jc w:val="both"/>
      </w:pPr>
      <w:r>
        <w:rPr>
          <w:rFonts w:ascii="Arial" w:cs="Arial" w:eastAsia="Arial" w:hAnsi="Arial"/>
          <w:sz w:val="24"/>
          <w:szCs w:val="24"/>
        </w:rPr>
        <w:t xml:space="preserve">10) отсутствие на заседаниях местного кенеша без уважительных причин более четырех раз в течение одного года;</w:t>
      </w:r>
    </w:p>
    <w:p>
      <w:pPr>
        <w:spacing w:after="60"/>
        <w:ind w:firstLine="567"/>
        <w:jc w:val="both"/>
      </w:pPr>
      <w:r>
        <w:rPr>
          <w:rFonts w:ascii="Arial" w:cs="Arial" w:eastAsia="Arial" w:hAnsi="Arial"/>
          <w:sz w:val="24"/>
          <w:szCs w:val="24"/>
        </w:rPr>
        <w:t xml:space="preserve">11) смерть депутата.</w:t>
      </w:r>
    </w:p>
    <w:p>
      <w:pPr>
        <w:spacing w:after="60"/>
        <w:ind w:firstLine="567"/>
        <w:jc w:val="both"/>
      </w:pPr>
      <w:r>
        <w:rPr>
          <w:rFonts w:ascii="Arial" w:cs="Arial" w:eastAsia="Arial" w:hAnsi="Arial"/>
          <w:sz w:val="24"/>
          <w:szCs w:val="24"/>
        </w:rPr>
        <w:t xml:space="preserve">Досрочное прекращение полномочий депутата по указанным в части 1 настоящей статьи основаниям осуществляется решением соответствующей территориальной избирательной комиссии, принимаемым не позднее 30 календарных дней со дня возникновения основания.</w:t>
      </w:r>
    </w:p>
    <w:p>
      <w:pPr>
        <w:spacing w:after="60"/>
        <w:ind w:firstLine="567"/>
        <w:jc w:val="both"/>
      </w:pPr>
      <w:r>
        <w:rPr>
          <w:rFonts w:ascii="Arial" w:cs="Arial" w:eastAsia="Arial" w:hAnsi="Arial"/>
          <w:sz w:val="24"/>
          <w:szCs w:val="24"/>
        </w:rPr>
        <w:t xml:space="preserve">Соответствующая территориальная избирательная комиссия рассматривает вопрос о досрочном прекращении полномочий депутата на основании соответствующего заявления или представления.</w:t>
      </w:r>
    </w:p>
    <w:p>
      <w:pPr>
        <w:spacing w:after="60"/>
        <w:ind w:firstLine="567"/>
        <w:jc w:val="both"/>
      </w:pPr>
      <w:r>
        <w:rPr>
          <w:rFonts w:ascii="Arial" w:cs="Arial" w:eastAsia="Arial" w:hAnsi="Arial"/>
          <w:sz w:val="24"/>
          <w:szCs w:val="24"/>
        </w:rPr>
        <w:t xml:space="preserve">Представление о досрочном прекращении полномочий депутата представляется соответствующей территориальной избирательной комиссии:</w:t>
      </w:r>
    </w:p>
    <w:p>
      <w:pPr>
        <w:spacing w:after="60"/>
        <w:ind w:firstLine="567"/>
        <w:jc w:val="both"/>
      </w:pPr>
      <w:r>
        <w:rPr>
          <w:rFonts w:ascii="Arial" w:cs="Arial" w:eastAsia="Arial" w:hAnsi="Arial"/>
          <w:sz w:val="24"/>
          <w:szCs w:val="24"/>
        </w:rPr>
        <w:t xml:space="preserve">1) соответствующим государственным органом - в случаях, предусмотренных пунктами 2, 7 и 11 части 1 настоящей статьи;</w:t>
      </w:r>
    </w:p>
    <w:p>
      <w:pPr>
        <w:spacing w:after="60"/>
        <w:ind w:firstLine="567"/>
        <w:jc w:val="both"/>
      </w:pPr>
      <w:r>
        <w:rPr>
          <w:rFonts w:ascii="Arial" w:cs="Arial" w:eastAsia="Arial" w:hAnsi="Arial"/>
          <w:sz w:val="24"/>
          <w:szCs w:val="24"/>
        </w:rPr>
        <w:t xml:space="preserve">2) судом - в случаях, предусмотренных пунктами 6, 8 и 9 части 1 настоящей статьи;</w:t>
      </w:r>
    </w:p>
    <w:p>
      <w:pPr>
        <w:spacing w:after="60"/>
        <w:ind w:firstLine="567"/>
        <w:jc w:val="both"/>
      </w:pPr>
      <w:r>
        <w:rPr>
          <w:rFonts w:ascii="Arial" w:cs="Arial" w:eastAsia="Arial" w:hAnsi="Arial"/>
          <w:sz w:val="24"/>
          <w:szCs w:val="24"/>
        </w:rPr>
        <w:t xml:space="preserve">3) соответствующим местным кенешем - в случаях, предусмотренных пунктами 3-5 и 10 части 1 настоящей статьи.</w:t>
      </w:r>
    </w:p>
    <w:p>
      <w:pPr>
        <w:spacing w:after="60"/>
        <w:ind w:firstLine="567"/>
        <w:jc w:val="both"/>
      </w:pPr>
      <w:r>
        <w:rPr>
          <w:rFonts w:ascii="Arial" w:cs="Arial" w:eastAsia="Arial" w:hAnsi="Arial"/>
          <w:sz w:val="24"/>
          <w:szCs w:val="24"/>
        </w:rPr>
        <w:t xml:space="preserve">Местный кенеш рассматривает вопрос о досрочном прекращении полномочий депутата по процедуре полного обсуждения в случаях, предусмотренных пунктами 3-5 и 10 части 1 настоящей статьи.</w:t>
      </w:r>
    </w:p>
    <w:p>
      <w:pPr>
        <w:spacing w:after="60"/>
        <w:ind w:firstLine="567"/>
        <w:jc w:val="both"/>
      </w:pPr>
      <w:r>
        <w:rPr>
          <w:rFonts w:ascii="Arial" w:cs="Arial" w:eastAsia="Arial" w:hAnsi="Arial"/>
          <w:sz w:val="24"/>
          <w:szCs w:val="24"/>
        </w:rPr>
        <w:t xml:space="preserve">Решение о досрочном прекращении полномочий депутата по указанным основаниям принимается местным кенешем большинством от общего числа депутатов и направляется в соответствующую территориальную избирательную комиссию не позднее 3 дней после принятия.</w:t>
      </w:r>
    </w:p>
    <w:p>
      <w:pPr>
        <w:spacing w:after="60"/>
        <w:ind w:firstLine="567"/>
        <w:jc w:val="both"/>
      </w:pPr>
      <w:r>
        <w:rPr>
          <w:rFonts w:ascii="Arial" w:cs="Arial" w:eastAsia="Arial" w:hAnsi="Arial"/>
          <w:sz w:val="24"/>
          <w:szCs w:val="24"/>
        </w:rPr>
        <w:t xml:space="preserve">Уважительными причинами отсутствия депутата являются:</w:t>
      </w:r>
    </w:p>
    <w:p>
      <w:pPr>
        <w:spacing w:after="60"/>
        <w:ind w:firstLine="567"/>
        <w:jc w:val="both"/>
      </w:pPr>
      <w:r>
        <w:rPr>
          <w:rFonts w:ascii="Arial" w:cs="Arial" w:eastAsia="Arial" w:hAnsi="Arial"/>
          <w:sz w:val="24"/>
          <w:szCs w:val="24"/>
        </w:rPr>
        <w:t xml:space="preserve">1) временная нетрудоспособность;</w:t>
      </w:r>
    </w:p>
    <w:p>
      <w:pPr>
        <w:spacing w:after="60"/>
        <w:ind w:firstLine="567"/>
        <w:jc w:val="both"/>
      </w:pPr>
      <w:r>
        <w:rPr>
          <w:rFonts w:ascii="Arial" w:cs="Arial" w:eastAsia="Arial" w:hAnsi="Arial"/>
          <w:sz w:val="24"/>
          <w:szCs w:val="24"/>
        </w:rPr>
        <w:t xml:space="preserve">2) отпуск по беременности и родам, в связи с усыновлением ребенка;</w:t>
      </w:r>
    </w:p>
    <w:p>
      <w:pPr>
        <w:spacing w:after="60"/>
        <w:ind w:firstLine="567"/>
        <w:jc w:val="both"/>
      </w:pPr>
      <w:r>
        <w:rPr>
          <w:rFonts w:ascii="Arial" w:cs="Arial" w:eastAsia="Arial" w:hAnsi="Arial"/>
          <w:sz w:val="24"/>
          <w:szCs w:val="24"/>
        </w:rPr>
        <w:t xml:space="preserve">3) отсутствие по семейным обстоятельствам (в случаях регистрации брака, рождения ребенка, по уходу за ребенком, смерти близких родственников), учебный отпуск, нахождение в командировке по основному месту работы, участие по письменному приглашению в государственных церемониях и официальных приемах, семинарах, конференциях и других мероприятиях с разрешения руководства соответствующего местного кенеша;</w:t>
      </w:r>
    </w:p>
    <w:p>
      <w:pPr>
        <w:spacing w:after="60"/>
        <w:ind w:firstLine="567"/>
        <w:jc w:val="both"/>
      </w:pPr>
      <w:r>
        <w:rPr>
          <w:rFonts w:ascii="Arial" w:cs="Arial" w:eastAsia="Arial" w:hAnsi="Arial"/>
          <w:sz w:val="24"/>
          <w:szCs w:val="24"/>
        </w:rPr>
        <w:t xml:space="preserve">4) транспортные препятствия и другие форс-мажорные обстоятельства, подтвержденные соответствующими документами.".</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w:t>
      </w:r>
      <w:hyperlink w:history="1" r:id="rIdqv1oxlcp9etfco_s4rfv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столицы" (Ведомости Жогорку Кенеша Кыргызской Республики, 2013 г., № 11, ст.1195) следующее изменение:</w:t>
      </w:r>
    </w:p>
    <w:p>
      <w:pPr>
        <w:spacing w:after="60"/>
        <w:ind w:firstLine="567"/>
        <w:jc w:val="both"/>
      </w:pPr>
      <w:hyperlink w:history="1" r:id="rIdxq4nrpqt7l5yt5ypsiim7">
        <w:r>
          <w:rPr>
            <w:rFonts w:ascii="Arial" w:cs="Arial" w:eastAsia="Arial" w:hAnsi="Arial"/>
            <w:color w:val="1D4ED8"/>
            <w:sz w:val="24"/>
            <w:szCs w:val="24"/>
            <w:u w:val="single"/>
          </w:rPr>
          <w:t xml:space="preserve">статью 22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v8wwee_0umx_kj_lm5cwh">
        <w:r>
          <w:rPr>
            <w:rFonts w:ascii="Arial" w:cs="Arial" w:eastAsia="Arial" w:hAnsi="Arial"/>
            <w:color w:val="1D4ED8"/>
            <w:sz w:val="24"/>
            <w:szCs w:val="24"/>
            <w:u w:val="single"/>
          </w:rPr>
          <w:t xml:space="preserve">Статья 22</w:t>
        </w:r>
      </w:hyperlink>
      <w:r>
        <w:rPr>
          <w:rFonts w:ascii="Arial" w:cs="Arial" w:eastAsia="Arial" w:hAnsi="Arial"/>
          <w:sz w:val="24"/>
          <w:szCs w:val="24"/>
        </w:rPr>
        <w:t xml:space="preserve">. Требования, предъявляемые к кандидату на должность мэра города Бишкек</w:t>
      </w:r>
    </w:p>
    <w:p>
      <w:pPr>
        <w:spacing w:after="60"/>
        <w:ind w:firstLine="567"/>
        <w:jc w:val="both"/>
      </w:pPr>
      <w:r>
        <w:rPr>
          <w:rFonts w:ascii="Arial" w:cs="Arial" w:eastAsia="Arial" w:hAnsi="Arial"/>
          <w:sz w:val="24"/>
          <w:szCs w:val="24"/>
        </w:rPr>
        <w:t xml:space="preserve">1. Мэром города Бишкек может быть дееспособный гражданин Кыргызской Республики, имеющий высшее образование и стаж работы на государственной, муниципальной службе или стаж работы в государственных учреждениях образования, здравоохранения или на руководящих должностях в организациях, учреждениях и хозяйствующих субъектах частной формы собственности не менее 3 лет, владеющий государственным языком.</w:t>
      </w:r>
    </w:p>
    <w:p>
      <w:pPr>
        <w:spacing w:after="60"/>
        <w:ind w:firstLine="567"/>
        <w:jc w:val="both"/>
      </w:pPr>
      <w:r>
        <w:rPr>
          <w:rFonts w:ascii="Arial" w:cs="Arial" w:eastAsia="Arial" w:hAnsi="Arial"/>
          <w:sz w:val="24"/>
          <w:szCs w:val="24"/>
        </w:rPr>
        <w:t xml:space="preserve">2. Кандидат на должность мэра города Бишкек для осуществления профессиональной деятельности должен владеть государственным языком на уровне коммуникативной компетенции во всех сферах общения, характеризуемом как уровень "выше среднего" согласно требованиям системы определения уровня владения государственным языком "Кыргызтест", утверждаемой Правительством Кыргызской Республики. Уровень владения языком удостоверяется сертификатом установленного образца (далее - сертификат об уровне владения государственным языком).</w:t>
      </w:r>
    </w:p>
    <w:p>
      <w:pPr>
        <w:spacing w:after="60"/>
        <w:ind w:firstLine="567"/>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60"/>
        <w:ind w:firstLine="567"/>
        <w:jc w:val="both"/>
      </w:pPr>
      <w:r>
        <w:rPr>
          <w:rFonts w:ascii="Arial" w:cs="Arial" w:eastAsia="Arial" w:hAnsi="Arial"/>
          <w:sz w:val="24"/>
          <w:szCs w:val="24"/>
        </w:rPr>
        <w:t xml:space="preserve">Непредоставление в территориальную избирательную комиссию кандидатом на должность мэра города Бишкек сертификата об уровне владения государственным языком является основанием для отказа в регистрации.</w:t>
      </w:r>
    </w:p>
    <w:p>
      <w:pPr>
        <w:spacing w:after="60"/>
        <w:ind w:firstLine="567"/>
        <w:jc w:val="both"/>
      </w:pPr>
      <w:r>
        <w:rPr>
          <w:rFonts w:ascii="Arial" w:cs="Arial" w:eastAsia="Arial" w:hAnsi="Arial"/>
          <w:sz w:val="24"/>
          <w:szCs w:val="24"/>
        </w:rPr>
        <w:t xml:space="preserve">3. Не могут быть мэром города Бишкек гражданин Кыргызской Республики, имеющий судимость за совершение преступления, не погашенную в установленном законодательством порядке до окончания сроков регистрации кандидатов, а также граждане, осужденные за совершение тяжких и особо тяжких преступлений, независимо от того, погашена их судимость в установленном законодательством порядке или нет.".</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Внести в </w:t>
      </w:r>
      <w:hyperlink w:history="1" r:id="rIdk4efmd2tbw-1jg2_v0q0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города Ош" (Ведомости Жогорку Кенеша Кыргызской Республики, 2013 г., № 11, ст.1196) следующее изменение:</w:t>
      </w:r>
    </w:p>
    <w:p>
      <w:pPr>
        <w:spacing w:after="60"/>
        <w:ind w:firstLine="567"/>
        <w:jc w:val="both"/>
      </w:pPr>
      <w:hyperlink w:history="1" r:id="rId6pku4ff4llkred2f6j_wk">
        <w:r>
          <w:rPr>
            <w:rFonts w:ascii="Arial" w:cs="Arial" w:eastAsia="Arial" w:hAnsi="Arial"/>
            <w:color w:val="1D4ED8"/>
            <w:sz w:val="24"/>
            <w:szCs w:val="24"/>
            <w:u w:val="single"/>
          </w:rPr>
          <w:t xml:space="preserve">статью 22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qail-btxyeilexb72qnly">
        <w:r>
          <w:rPr>
            <w:rFonts w:ascii="Arial" w:cs="Arial" w:eastAsia="Arial" w:hAnsi="Arial"/>
            <w:color w:val="1D4ED8"/>
            <w:sz w:val="24"/>
            <w:szCs w:val="24"/>
            <w:u w:val="single"/>
          </w:rPr>
          <w:t xml:space="preserve">Статья 22</w:t>
        </w:r>
      </w:hyperlink>
      <w:r>
        <w:rPr>
          <w:rFonts w:ascii="Arial" w:cs="Arial" w:eastAsia="Arial" w:hAnsi="Arial"/>
          <w:sz w:val="24"/>
          <w:szCs w:val="24"/>
        </w:rPr>
        <w:t xml:space="preserve">. Требования, предъявляемые к кандидату на должность мэра города</w:t>
      </w:r>
    </w:p>
    <w:p>
      <w:pPr>
        <w:spacing w:after="60"/>
        <w:ind w:firstLine="567"/>
        <w:jc w:val="both"/>
      </w:pPr>
      <w:r>
        <w:rPr>
          <w:rFonts w:ascii="Arial" w:cs="Arial" w:eastAsia="Arial" w:hAnsi="Arial"/>
          <w:sz w:val="24"/>
          <w:szCs w:val="24"/>
        </w:rPr>
        <w:t xml:space="preserve">1. Мэром города может быть дееспособный гражданин Кыргызской Республики, имеющий высшее образование и стаж работы на государственной, муниципальной службе или стаж работы в государственных учреждениях образования, здравоохранения или на руководящих должностях в организациях, учреждениях и хозяйствующих субъектах частной формы собственности не менее 3 лет, владеющий государственным языком.</w:t>
      </w:r>
    </w:p>
    <w:p>
      <w:pPr>
        <w:spacing w:after="60"/>
        <w:ind w:firstLine="567"/>
        <w:jc w:val="both"/>
      </w:pPr>
      <w:r>
        <w:rPr>
          <w:rFonts w:ascii="Arial" w:cs="Arial" w:eastAsia="Arial" w:hAnsi="Arial"/>
          <w:sz w:val="24"/>
          <w:szCs w:val="24"/>
        </w:rPr>
        <w:t xml:space="preserve">2. Кандидат на должность мэра города для осуществления профессиональной деятельности должен владеть государственным языком на уровне коммуникативной компетенции во всех сферах общения, характеризуемом как уровень "выше среднего" согласно требованиям системы определения уровня владения государственным языком "Кыргызтест", утверждаемой Правительством Кыргызской Республики. Уровень владения языком удостоверяется сертификатом установленного образца (далее - сертификат об уровне владения государственным языком).</w:t>
      </w:r>
    </w:p>
    <w:p>
      <w:pPr>
        <w:spacing w:after="60"/>
        <w:ind w:firstLine="567"/>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60"/>
        <w:ind w:firstLine="567"/>
        <w:jc w:val="both"/>
      </w:pPr>
      <w:r>
        <w:rPr>
          <w:rFonts w:ascii="Arial" w:cs="Arial" w:eastAsia="Arial" w:hAnsi="Arial"/>
          <w:sz w:val="24"/>
          <w:szCs w:val="24"/>
        </w:rPr>
        <w:t xml:space="preserve">Непредоставление в территориальную избирательную комиссию кандидатом на должность мэра города сертификата об уровне владения государственным языком является основанием для отказа в регистрации.</w:t>
      </w:r>
    </w:p>
    <w:p>
      <w:pPr>
        <w:spacing w:after="60"/>
        <w:ind w:firstLine="567"/>
        <w:jc w:val="both"/>
      </w:pPr>
      <w:r>
        <w:rPr>
          <w:rFonts w:ascii="Arial" w:cs="Arial" w:eastAsia="Arial" w:hAnsi="Arial"/>
          <w:sz w:val="24"/>
          <w:szCs w:val="24"/>
        </w:rPr>
        <w:t xml:space="preserve">3. Не могут быть мэром города гражданин Кыргызской Республики, имеющий судимость за совершение преступления, не погашенную в установленном законодательством порядке до окончания сроков регистрации кандидатов, а также граждане, осужденные за совершение тяжких и особо тяжких преступлений, независимо от того, погашена их судимость в установленном законодательством порядке или нет.".</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20 августа 2019 года N 70</w:t>
      </w:r>
    </w:p>
    <w:p>
      <w:pPr>
        <w:spacing w:after="60"/>
        <w:ind w:firstLine="567"/>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flhxdp5dqhnnkwsjp8ri" Type="http://schemas.openxmlformats.org/officeDocument/2006/relationships/hyperlink" Target="http://kodeks.duckdns.org/document/112302" TargetMode="External"/><Relationship Id="rIdfq3ydf_ylcu1g_3-yx7tx" Type="http://schemas.openxmlformats.org/officeDocument/2006/relationships/hyperlink" Target="http://kodeks.duckdns.org/document/112302" TargetMode="External"/><Relationship Id="rIdbo93mzfmz5dmqaolmtow3" Type="http://schemas.openxmlformats.org/officeDocument/2006/relationships/hyperlink" Target="http://kodeks.duckdns.org/document/311" TargetMode="External"/><Relationship Id="rIdxcxrxtf1oryzngroeedjj" Type="http://schemas.openxmlformats.org/officeDocument/2006/relationships/hyperlink" Target="http://kodeks.duckdns.org/document/311#st_3" TargetMode="External"/><Relationship Id="rIdnijfydujfavlvddjx_jfk" Type="http://schemas.openxmlformats.org/officeDocument/2006/relationships/hyperlink" Target="http://kodeks.duckdns.org/document/311#st_3" TargetMode="External"/><Relationship Id="rIdqv1oxlcp9etfco_s4rfvi" Type="http://schemas.openxmlformats.org/officeDocument/2006/relationships/hyperlink" Target="http://kodeks.duckdns.org/document/205092" TargetMode="External"/><Relationship Id="rIdxq4nrpqt7l5yt5ypsiim7" Type="http://schemas.openxmlformats.org/officeDocument/2006/relationships/hyperlink" Target="http://kodeks.duckdns.org/document/205092#st_22" TargetMode="External"/><Relationship Id="rIdv8wwee_0umx_kj_lm5cwh" Type="http://schemas.openxmlformats.org/officeDocument/2006/relationships/hyperlink" Target="http://kodeks.duckdns.org/document/205092#st_22" TargetMode="External"/><Relationship Id="rIdk4efmd2tbw-1jg2_v0q0j" Type="http://schemas.openxmlformats.org/officeDocument/2006/relationships/hyperlink" Target="http://kodeks.duckdns.org/document/205093" TargetMode="External"/><Relationship Id="rId6pku4ff4llkred2f6j_wk" Type="http://schemas.openxmlformats.org/officeDocument/2006/relationships/hyperlink" Target="http://kodeks.duckdns.org/document/205093#st_22" TargetMode="External"/><Relationship Id="rIdqail-btxyeilexb72qnly" Type="http://schemas.openxmlformats.org/officeDocument/2006/relationships/hyperlink" Target="http://kodeks.duckdns.org/document/205093#st_22"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2026-09-23T00:28:24.310Z</dcterms:created>
  <dcterms:modified xsi:type="dcterms:W3CDTF">2026-09-23T00:28:24.310Z</dcterms:modified>
</cp:coreProperties>
</file>

<file path=docProps/custom.xml><?xml version="1.0" encoding="utf-8"?>
<Properties xmlns="http://schemas.openxmlformats.org/officeDocument/2006/custom-properties" xmlns:vt="http://schemas.openxmlformats.org/officeDocument/2006/docPropsVTypes"/>
</file>