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l20wtpwdcntyk7jiny6f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октября 2021 года № 126</w:t>
      </w:r>
    </w:p>
    <w:p>
      <w:pPr>
        <w:spacing w:after="84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15 января 2020 года № 6</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Кодекс Кыргызской Республики о нарушениях, Кодекс Кыргызской Республики о проступках)</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11 декабря 2019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bpscivbt9thb4sjsybji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(Ведомости Жогорку Кенеша Кыргызской Республики, 2017 г., № 4, ст.285) следующие изменения:</w:t>
      </w:r>
    </w:p>
    <w:p>
      <w:pPr>
        <w:spacing w:after="120"/>
        <w:ind w:firstLine="397"/>
        <w:jc w:val="both"/>
      </w:pPr>
      <w:r>
        <w:rPr>
          <w:rFonts w:ascii="Arial" w:cs="Arial" w:eastAsia="Arial" w:hAnsi="Arial"/>
          <w:sz w:val="24"/>
          <w:szCs w:val="24"/>
        </w:rPr>
        <w:t xml:space="preserve">1) часть 4 </w:t>
      </w:r>
      <w:hyperlink w:history="1" r:id="rIdzh9huqngo_aaegl7guysa">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"4. Управление транспортным средством с отсутствующими государственными регистрационными номерными знаками (знаком), а равно управление транспортным средством с государственными регистрационными номерными знаками с применением устройств и материалов, препятствующих идентификации государственных регистрационных номерных знаков (знака) либо позволяющих их видоизменить или скрыть,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2) статью 123</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hh_yiivjqj_afxbunmx6g">
        <w:r>
          <w:rPr>
            <w:rFonts w:ascii="Arial" w:cs="Arial" w:eastAsia="Arial" w:hAnsi="Arial"/>
            <w:color w:val="1D4ED8"/>
            <w:sz w:val="24"/>
            <w:szCs w:val="24"/>
            <w:u w:val="single"/>
          </w:rPr>
          <w:t xml:space="preserve">Статья 123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Нарушение правил дорожного движения водителями транспортных средств</w:t>
      </w:r>
    </w:p>
    <w:p>
      <w:pPr>
        <w:spacing w:after="120"/>
        <w:ind w:firstLine="397"/>
        <w:jc w:val="both"/>
      </w:pPr>
      <w:r>
        <w:rPr>
          <w:rFonts w:ascii="Arial" w:cs="Arial" w:eastAsia="Arial" w:hAnsi="Arial"/>
          <w:sz w:val="24"/>
          <w:szCs w:val="24"/>
        </w:rPr>
        <w:t xml:space="preserve">1. Невыполнение требований дорожных знаков, невыполнение требований разметки проезжей части дороги (за исключением нарушений правил обгона или маневрирования с выездом на полосу встречного движения); нарушение правил остановки или стоянки; несоблюдение безопасной дистанции, интервала либо нарушение расположения транспортных средств на проезжей части или нарушение правил движения по автомагистралям; невыполнение требований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нарушение правил обгона или маневрирования без выезда на полосу встречного движения; нарушение правил пользования внешними осветительными приборами либо предупредительными сигналами (за исключением требования движения на всех механических транспортных средствах в светлое время суток вне населенных пунктов с включенным ближним светом фар) -</w:t>
      </w:r>
    </w:p>
    <w:p>
      <w:pPr>
        <w:spacing w:after="120"/>
        <w:ind w:firstLine="397"/>
        <w:jc w:val="both"/>
      </w:pPr>
      <w:r>
        <w:rPr>
          <w:rFonts w:ascii="Arial" w:cs="Arial" w:eastAsia="Arial" w:hAnsi="Arial"/>
          <w:sz w:val="24"/>
          <w:szCs w:val="24"/>
        </w:rPr>
        <w:t xml:space="preserve">влекут наложение штрафа 1 категории.</w:t>
      </w:r>
    </w:p>
    <w:p>
      <w:pPr>
        <w:spacing w:after="120"/>
        <w:ind w:firstLine="397"/>
        <w:jc w:val="both"/>
      </w:pPr>
      <w:r>
        <w:rPr>
          <w:rFonts w:ascii="Arial" w:cs="Arial" w:eastAsia="Arial" w:hAnsi="Arial"/>
          <w:sz w:val="24"/>
          <w:szCs w:val="24"/>
        </w:rPr>
        <w:t xml:space="preserve">2. Нарушение требований по перевозке детей, установленных Правилами дорожного движения; нарушение правил проезда перекрестков или проезд на запрещающий сигнал светофора либо запрещающий жест регулировщика; нарушение правил остановки или стоянки на полосе для маршрутных транспортных средств; нарушение правил учебной езды; нарушение правил проезда пешеходных переходов, непредставление преимущества в движении пешеходам на пешеходных переходах, а равно движение по тротуарам либо пешеходным или велосипедным дорожкам; нарушение правил перевозки грузов либо буксирования транспортных средств; нарушение правил пользования средствами связи водителем во время движения транспортного средства, не оборудованного техническими устройствами, позволяющими вести переговоры без помощи рук (за исключением водителей специальных транспортных средств во время выполнения ими неотложных служебных задач); выброс (оставление, складирование, сжигание) мусора и иных предметов на автомобильных дорогах водителями, пассажирами или иными участниками дорожного движения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sz w:val="24"/>
          <w:szCs w:val="24"/>
        </w:rPr>
        <w:t xml:space="preserve">3. Нарушение правил обгона или маневрирования с выездом на полосу встречного движения; непредставление преимущества транспортным средствам общего пользования, в том числе нарушение правил проезда остановок транспортных средств общего пользования; переоборудование, а равно установка оборудования для усиления уровня звука (шума) системы выпуска отработавших газов двигателя -</w:t>
      </w:r>
    </w:p>
    <w:p>
      <w:pPr>
        <w:spacing w:after="120"/>
        <w:ind w:firstLine="397"/>
        <w:jc w:val="both"/>
      </w:pPr>
      <w:r>
        <w:rPr>
          <w:rFonts w:ascii="Arial" w:cs="Arial" w:eastAsia="Arial" w:hAnsi="Arial"/>
          <w:sz w:val="24"/>
          <w:szCs w:val="24"/>
        </w:rPr>
        <w:t xml:space="preserve">влекут наложение штрафа 3 категории.</w:t>
      </w:r>
    </w:p>
    <w:p>
      <w:pPr>
        <w:spacing w:after="120"/>
        <w:ind w:firstLine="397"/>
        <w:jc w:val="both"/>
      </w:pPr>
      <w:r>
        <w:rPr>
          <w:rFonts w:ascii="Arial" w:cs="Arial" w:eastAsia="Arial" w:hAnsi="Arial"/>
          <w:sz w:val="24"/>
          <w:szCs w:val="24"/>
        </w:rPr>
        <w:t xml:space="preserve">4. Непредставление преимущества в движении транспортным средствам с включенными специальными световыми и звуковыми сигнальными устройствами,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Примечание. Участники дорожного движения обязаны подчиняться требованиям сигналов и распоряжений регулировщика независимо от его местоположения на дороге, а также независимо от требований сигналов светофора, дорожных знаков либо линий дорожной разметки. Водители транспортных средств оперативных и специальных служб с включенными проблесковыми маячками, выполняя неотложное служебное задание, могут отступать от требований настоящей статьи (кроме сигналов регулировщика). Данным приоритетом при движении они могут воспользоваться только убедившись, что им уступают дорогу.".</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Внести в </w:t>
      </w:r>
      <w:hyperlink w:history="1" r:id="rIdpf7siwy28j3j_-0ymudy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(Ведомости Жогорку Кенеша Кыргызской Республики, 2017 г., № 2 (2), ст.78) следующее изменение:</w:t>
      </w:r>
    </w:p>
    <w:p>
      <w:pPr>
        <w:spacing w:after="120"/>
        <w:ind w:firstLine="397"/>
        <w:jc w:val="both"/>
      </w:pPr>
      <w:hyperlink w:history="1" r:id="rIdl_5sa5agwj_6r7nr97iw8">
        <w:r>
          <w:rPr>
            <w:rFonts w:ascii="Arial" w:cs="Arial" w:eastAsia="Arial" w:hAnsi="Arial"/>
            <w:color w:val="1D4ED8"/>
            <w:sz w:val="24"/>
            <w:szCs w:val="24"/>
            <w:u w:val="single"/>
          </w:rPr>
          <w:t xml:space="preserve">статью 173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2qaqrsw_3xog0jhtkbhqb">
        <w:r>
          <w:rPr>
            <w:rFonts w:ascii="Arial" w:cs="Arial" w:eastAsia="Arial" w:hAnsi="Arial"/>
            <w:color w:val="1D4ED8"/>
            <w:sz w:val="24"/>
            <w:szCs w:val="24"/>
            <w:u w:val="single"/>
          </w:rPr>
          <w:t xml:space="preserve">Статья 173</w:t>
        </w:r>
      </w:hyperlink>
      <w:r>
        <w:rPr>
          <w:rFonts w:ascii="Arial" w:cs="Arial" w:eastAsia="Arial" w:hAnsi="Arial"/>
          <w:sz w:val="24"/>
          <w:szCs w:val="24"/>
        </w:rPr>
        <w:t xml:space="preserve">. Подделка, использование или уничтожение идентификационного номера транспортного средства</w:t>
      </w:r>
    </w:p>
    <w:p>
      <w:pPr>
        <w:spacing w:after="120"/>
        <w:ind w:firstLine="397"/>
        <w:jc w:val="both"/>
      </w:pPr>
      <w:r>
        <w:rPr>
          <w:rFonts w:ascii="Arial" w:cs="Arial" w:eastAsia="Arial" w:hAnsi="Arial"/>
          <w:sz w:val="24"/>
          <w:szCs w:val="24"/>
        </w:rPr>
        <w:t xml:space="preserve">1. Управление транспортным средством с подложными или поддельными государственными регистрационными номерными знаками (знаком)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Подделка или уничтожение идентификационного номера, номера кузова, шасси, а равно подделка государственного регистрационного номерного знака транспортного средства -</w:t>
      </w:r>
    </w:p>
    <w:p>
      <w:pPr>
        <w:spacing w:after="120"/>
        <w:ind w:firstLine="397"/>
        <w:jc w:val="both"/>
      </w:pPr>
      <w:r>
        <w:rPr>
          <w:rFonts w:ascii="Arial" w:cs="Arial" w:eastAsia="Arial" w:hAnsi="Arial"/>
          <w:sz w:val="24"/>
          <w:szCs w:val="24"/>
        </w:rPr>
        <w:t xml:space="preserve">влекут наказание в виде штрафа II категории.".</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17 января 2020 года № 5 (3077)</w:t>
      </w:r>
    </w:p>
    <w:p>
      <w:pPr>
        <w:spacing w:after="120"/>
        <w:ind w:firstLine="397"/>
        <w:jc w:val="both"/>
      </w:pPr>
      <w:r>
        <w:rPr>
          <w:rFonts w:ascii="Arial" w:cs="Arial" w:eastAsia="Arial" w:hAnsi="Arial"/>
          <w:sz w:val="24"/>
          <w:szCs w:val="24"/>
        </w:rPr>
        <w:t xml:space="preserve">Штрафы по делам о нарушениях, предусмотренные статьей 123</w:t>
      </w:r>
      <w:r>
        <w:rPr>
          <w:rFonts w:ascii="Arial" w:cs="Arial" w:eastAsia="Arial" w:hAnsi="Arial"/>
          <w:sz w:val="24"/>
          <w:szCs w:val="24"/>
        </w:rPr>
        <w:t xml:space="preserve">1</w:t>
      </w:r>
      <w:r>
        <w:rPr>
          <w:rFonts w:ascii="Arial" w:cs="Arial" w:eastAsia="Arial" w:hAnsi="Arial"/>
          <w:sz w:val="24"/>
          <w:szCs w:val="24"/>
        </w:rPr>
        <w:t xml:space="preserve"> Кодекса Кыргызской Республики о нарушениях и не оплаченные до вступления в силу настоящего Закона, подлежат оплате в соответствии с нормами настоящего Закона.</w:t>
      </w:r>
    </w:p>
    <w:p>
      <w:pPr>
        <w:spacing w:after="120"/>
        <w:ind w:firstLine="397"/>
        <w:jc w:val="both"/>
      </w:pPr>
      <w:r>
        <w:rPr>
          <w:rFonts w:ascii="Arial" w:cs="Arial" w:eastAsia="Arial" w:hAnsi="Arial"/>
          <w:sz w:val="24"/>
          <w:szCs w:val="24"/>
        </w:rPr>
        <w:t xml:space="preserve">При этом часть 4 статьи 342 Кодекса Кыргызской Республики о нарушениях не распространяется в отношении лиц, пропустивших сроки, отведенные для добровольного исполнения.</w:t>
      </w:r>
    </w:p>
    <w:p>
      <w:pPr>
        <w:spacing w:after="120"/>
        <w:ind w:firstLine="39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20wtpwdcntyk7jiny6fr" Type="http://schemas.openxmlformats.org/officeDocument/2006/relationships/hyperlink" Target="http://kodeks.duckdns.org/document/112305" TargetMode="External"/><Relationship Id="rIdbpscivbt9thb4sjsybjik" Type="http://schemas.openxmlformats.org/officeDocument/2006/relationships/hyperlink" Target="http://kodeks.duckdns.org/document/111565" TargetMode="External"/><Relationship Id="rIdzh9huqngo_aaegl7guysa" Type="http://schemas.openxmlformats.org/officeDocument/2006/relationships/hyperlink" Target="http://kodeks.duckdns.org/document/111565#st_121" TargetMode="External"/><Relationship Id="rIdhh_yiivjqj_afxbunmx6g" Type="http://schemas.openxmlformats.org/officeDocument/2006/relationships/hyperlink" Target="http://kodeks.duckdns.org/document/111565#st_123_1" TargetMode="External"/><Relationship Id="rIdpf7siwy28j3j_-0ymudy7" Type="http://schemas.openxmlformats.org/officeDocument/2006/relationships/hyperlink" Target="http://kodeks.duckdns.org/document/111529" TargetMode="External"/><Relationship Id="rIdl_5sa5agwj_6r7nr97iw8" Type="http://schemas.openxmlformats.org/officeDocument/2006/relationships/hyperlink" Target="http://kodeks.duckdns.org/document/111529#st_173" TargetMode="External"/><Relationship Id="rId2qaqrsw_3xog0jhtkbhqb" Type="http://schemas.openxmlformats.org/officeDocument/2006/relationships/hyperlink" Target="http://kodeks.duckdns.org/document/111529#st_173"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2026-09-22T23:39:36.151Z</dcterms:created>
  <dcterms:modified xsi:type="dcterms:W3CDTF">2026-09-22T23:39:36.151Z</dcterms:modified>
</cp:coreProperties>
</file>

<file path=docProps/custom.xml><?xml version="1.0" encoding="utf-8"?>
<Properties xmlns="http://schemas.openxmlformats.org/officeDocument/2006/custom-properties" xmlns:vt="http://schemas.openxmlformats.org/officeDocument/2006/docPropsVTypes"/>
</file>