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 января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сохранение водных биологических ресурсов, среды их обитания и обеспечение благоприятной окружающей среды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синтетические рыболовные сети</w:t>
      </w:r>
      <w:r>
        <w:rPr>
          <w:rFonts w:ascii="Arial" w:cs="Arial" w:eastAsia="Arial" w:hAnsi="Arial"/>
          <w:sz w:val="24"/>
          <w:szCs w:val="24"/>
        </w:rPr>
        <w:t xml:space="preserve"> - сети из нитей, полученных химическим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электроловильные системы</w:t>
      </w:r>
      <w:r>
        <w:rPr>
          <w:rFonts w:ascii="Arial" w:cs="Arial" w:eastAsia="Arial" w:hAnsi="Arial"/>
          <w:sz w:val="24"/>
          <w:szCs w:val="24"/>
        </w:rPr>
        <w:t xml:space="preserve"> - устройства, состоящие из электрических генераторов сигналов, с подсоединенными проводниками и аккумулятором (батареей), совместно выполняющие функцию добычи (вылова) водных биологических ресурсов посредством электрического тока.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Запрет на ввоз, производство, изготовление, сбыт и использование синтетических рыболовных сетей, электроловильных систем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водных биологических ресурсов и среды их обитания запрещается ввоз, производство, изготовление, сбыт и использование на территории Кыргызской Республики синтетических рыболовных сетей, электроловильных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синтетических рыболовных сетей и электроловильных систем уполномоченными государственными органами осуществляется их изъятие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синтетических рыболовных сетей, электроловильных систем и порядок их уничтожения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только на ввоз, производство, изготовление, сбыт и использование синтетических рыболовных сетей, электроловильных устройств и не распространяется на ввоз, производство, изготовление, сбыт и использование рыболовных сетей из натуральных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Ответственность за нарушение требований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полученные от незаконной деятельности, подлежат изъятию и зачислению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марта 2020 года № 25(3097)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ounpxufclts52ooq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dalil.kg/document/112018</w:t>
      </w:r>
    </w:hyperlink>
  </w:p>
  <w:p>
    <w:pPr>
      <w:spacing w:after="0" w:before="40"/>
      <w:jc w:val="center"/>
    </w:pPr>
    <w:hyperlink w:history="1" r:id="rIdkt_0mjggdkcs3mg1hcz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ounpxufclts52ooqnr" Type="http://schemas.openxmlformats.org/officeDocument/2006/relationships/hyperlink" Target="https://dalil.kg/document/112018" TargetMode="External"/><Relationship Id="rIdkt_0mjggdkcs3mg1hcz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2026-09-27T15:58:14.085Z</dcterms:created>
  <dcterms:modified xsi:type="dcterms:W3CDTF">2026-09-27T15:58:14.085Z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