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11 ноября 2020 года № 2</w:t>
      </w:r>
    </w:p>
    <w:p>
      <w:pPr>
        <w:spacing w:after="400" w:before="4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zoe5rhnkeywmvxhzr9pkv">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часть 6 </w:t>
      </w:r>
      <w:hyperlink w:history="1" r:id="rId8bgyheb8slefxpe8jlsoj">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60"/>
        <w:ind w:firstLine="567"/>
        <w:jc w:val="both"/>
      </w:pPr>
      <w:r>
        <w:rPr>
          <w:rFonts w:ascii="Arial" w:cs="Arial" w:eastAsia="Arial" w:hAnsi="Arial"/>
          <w:sz w:val="24"/>
          <w:szCs w:val="24"/>
        </w:rPr>
        <w:t xml:space="preserve">Избиратель, проживающий или находящийся за пределами Кыргызской Республики в день голосования, вправе заявить о намерении голосовать по избирательному адресу места проживания или пребывания путем подачи заявления в порядке, установленном </w:t>
      </w:r>
      <w:hyperlink w:history="1" r:id="rIdnk18kbbuwougyljls59xx">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часть 3 </w:t>
      </w:r>
      <w:hyperlink w:history="1" r:id="rIdy2d_duiewhe0xtwfo840c">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Каждый избиратель, проживающий или находящийся за пределами Кыргызской Республики в день голосования,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дипломатическое представительство или консульское учреждение Кыргызской Республики заявления установленного образца с приложением копии паспорта гражданина Кыргызской Республики, а при его отсутствии - копии общегражданского паспорта гражданина Кыргызской Республики, служебного или дипломатического паспорта.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с момента поступления заявления избирателя о намерении голосовать по избирательному адресу места нахождения или пребывания регистрирует избирателя в качестве лица, вставшего на временный консульский учет на безвозмездной основе. Такая регистрация производится на срок, указанный в заявлении избирателя.</w:t>
      </w:r>
    </w:p>
    <w:p>
      <w:pPr>
        <w:spacing w:after="60"/>
        <w:ind w:firstLine="567"/>
        <w:jc w:val="both"/>
      </w:pPr>
      <w:r>
        <w:rPr>
          <w:rFonts w:ascii="Arial" w:cs="Arial" w:eastAsia="Arial" w:hAnsi="Arial"/>
          <w:sz w:val="24"/>
          <w:szCs w:val="24"/>
        </w:rPr>
        <w:t xml:space="preserve">После приема заявления дипломатическое представительство или консульское учреждение Кыргызской Республики незамедлительно передает его в Центральную избирательную комиссию для принятия соответствующих мер по изменению избирательного адреса.</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за предоставление заведомо недостоверных сведений несет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ведут учет поступивших заявлений избирателей об изменении избирательного адреса.";</w:t>
      </w:r>
    </w:p>
    <w:p>
      <w:pPr>
        <w:spacing w:after="60"/>
        <w:ind w:firstLine="567"/>
        <w:jc w:val="both"/>
      </w:pPr>
      <w:r>
        <w:rPr>
          <w:rFonts w:ascii="Arial" w:cs="Arial" w:eastAsia="Arial" w:hAnsi="Arial"/>
          <w:sz w:val="24"/>
          <w:szCs w:val="24"/>
        </w:rPr>
        <w:t xml:space="preserve">3) в </w:t>
      </w:r>
      <w:hyperlink w:history="1" r:id="rIdgrso6kwsdw99hujqyig73">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10 изложить в следующей редакции:</w:t>
      </w:r>
    </w:p>
    <w:p>
      <w:pPr>
        <w:spacing w:after="60"/>
        <w:ind w:firstLine="567"/>
        <w:jc w:val="both"/>
      </w:pPr>
      <w:r>
        <w:rPr>
          <w:rFonts w:ascii="Arial" w:cs="Arial" w:eastAsia="Arial" w:hAnsi="Arial"/>
          <w:sz w:val="24"/>
          <w:szCs w:val="24"/>
        </w:rPr>
        <w:t xml:space="preserve">"10. Граждане и юридические лица вправе оказывать финансовую (материальную) поддержку деятельности, способствующей избранию кандидата, списка кандидатов,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Уполномоченные представители, доверенные лица, наблюдатели, представители кандидатов, политических партий в избирательных комиссиях вправе осуществлять свои полномочия, выполнять работы и услуги, прямо или косвенно связанные с выборами, на безвозмездной основе.";</w:t>
      </w:r>
    </w:p>
    <w:p>
      <w:pPr>
        <w:spacing w:after="60"/>
        <w:ind w:firstLine="567"/>
        <w:jc w:val="both"/>
      </w:pPr>
      <w:r>
        <w:rPr>
          <w:rFonts w:ascii="Arial" w:cs="Arial" w:eastAsia="Arial" w:hAnsi="Arial"/>
          <w:sz w:val="24"/>
          <w:szCs w:val="24"/>
        </w:rPr>
        <w:t xml:space="preserve">б) в пункте 1 части 16 слова "5 процентов" заменить словами "1 процента";</w:t>
      </w:r>
    </w:p>
    <w:p>
      <w:pPr>
        <w:spacing w:after="60"/>
        <w:ind w:firstLine="567"/>
        <w:jc w:val="both"/>
      </w:pPr>
      <w:r>
        <w:rPr>
          <w:rFonts w:ascii="Arial" w:cs="Arial" w:eastAsia="Arial" w:hAnsi="Arial"/>
          <w:sz w:val="24"/>
          <w:szCs w:val="24"/>
        </w:rPr>
        <w:t xml:space="preserve">4) в части 2 </w:t>
      </w:r>
      <w:hyperlink w:history="1" r:id="rId4yfllkykbb7ygbxc-lqbh">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слово "пятидесятитысячекратном" заменить словом "десятитысячекратном";</w:t>
      </w:r>
    </w:p>
    <w:p>
      <w:pPr>
        <w:spacing w:after="60"/>
        <w:ind w:firstLine="567"/>
        <w:jc w:val="both"/>
      </w:pPr>
      <w:r>
        <w:rPr>
          <w:rFonts w:ascii="Arial" w:cs="Arial" w:eastAsia="Arial" w:hAnsi="Arial"/>
          <w:sz w:val="24"/>
          <w:szCs w:val="24"/>
        </w:rPr>
        <w:t xml:space="preserve">5) в части 2, абзаце первом части 3 </w:t>
      </w:r>
      <w:hyperlink w:history="1" r:id="rId5rz46nacczgm0qioxgiwb">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цифру "7" заменить цифрой "3".</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ноября 2020 года № 93 (3165)</w:t>
      </w:r>
    </w:p>
    <w:p>
      <w:pPr>
        <w:spacing w:after="60"/>
        <w:ind w:firstLine="56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Президента</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hyperlink w:history="1" r:id="rId4azrmqwhmrqfy3qwvds9c">
        <w:r>
          <w:rPr>
            <w:rFonts w:ascii="Arial" w:cs="Arial" w:eastAsia="Arial" w:hAnsi="Arial"/>
            <w:color w:val="1D4ED8"/>
            <w:sz w:val="24"/>
            <w:szCs w:val="24"/>
            <w:u w:val="single"/>
          </w:rPr>
          <w:t xml:space="preserve">22 октября 2020 года</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e5rhnkeywmvxhzr9pkv" Type="http://schemas.openxmlformats.org/officeDocument/2006/relationships/hyperlink" Target="http://kodeks.duckdns.org/document/203244" TargetMode="External"/><Relationship Id="rId8bgyheb8slefxpe8jlsoj" Type="http://schemas.openxmlformats.org/officeDocument/2006/relationships/hyperlink" Target="http://kodeks.duckdns.org/document/203244#st_14" TargetMode="External"/><Relationship Id="rIdnk18kbbuwougyljls59xx" Type="http://schemas.openxmlformats.org/officeDocument/2006/relationships/hyperlink" Target="http://kodeks.duckdns.org/document/203244#st_15" TargetMode="External"/><Relationship Id="rIdy2d_duiewhe0xtwfo840c" Type="http://schemas.openxmlformats.org/officeDocument/2006/relationships/hyperlink" Target="http://kodeks.duckdns.org/document/203244#st_15" TargetMode="External"/><Relationship Id="rIdgrso6kwsdw99hujqyig73" Type="http://schemas.openxmlformats.org/officeDocument/2006/relationships/hyperlink" Target="http://kodeks.duckdns.org/document/203244#st_41" TargetMode="External"/><Relationship Id="rId4yfllkykbb7ygbxc-lqbh" Type="http://schemas.openxmlformats.org/officeDocument/2006/relationships/hyperlink" Target="http://kodeks.duckdns.org/document/203244#st_61" TargetMode="External"/><Relationship Id="rId5rz46nacczgm0qioxgiwb" Type="http://schemas.openxmlformats.org/officeDocument/2006/relationships/hyperlink" Target="http://kodeks.duckdns.org/document/203244#st_64" TargetMode="External"/><Relationship Id="rId4azrmqwhmrqfy3qwvds9c" Type="http://schemas.openxmlformats.org/officeDocument/2006/relationships/hyperlink" Target="http://kodeks.duckdns.org/document/8766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2026-09-22T23:03:40.909Z</dcterms:created>
  <dcterms:modified xsi:type="dcterms:W3CDTF">2026-09-22T23:03:40.909Z</dcterms:modified>
</cp:coreProperties>
</file>

<file path=docProps/custom.xml><?xml version="1.0" encoding="utf-8"?>
<Properties xmlns="http://schemas.openxmlformats.org/officeDocument/2006/custom-properties" xmlns:vt="http://schemas.openxmlformats.org/officeDocument/2006/docPropsVTypes"/>
</file>