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2021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государственно-частном партнерстве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0al8f2fu3ndasxubsca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разработки и реализации проектов государственно-частного партнерства, создания благоприятных условий для субъектов государственно-частного партнерства.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регулирования настоящего Закона являются отношения в сфере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применяется к инфраструктурным объектам и/или инфраструктурным услугам. Государственно-частное партнерство не применяется к инфраструктурным объектам и/или инфраструктурным услугам, связанным с пользованием недрами, государственными закупками и приватизацией.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включение в другие законы норм, предметом регулирования которых является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Взаимоотношения по проектам государственно-частного партнерства межгосударственного характера регламентируются, вступившими в силу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государственно-частного партнерства к объектам, включенным в перечень стратегических объектов, должны соблюдаться также требования законодательства Кыргызской Республики о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банковским правоотношениям и субъектам, лицензируемым и регулируемым Национальным банком Кыргызской Республики, настоящий Закон применяется с учетом требований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участниками проекта государственно-частного партнерства являются поднадзорные Национальному банку Кыргызской Республики лица, то нормы настоящего Закона применяются в части, не противоречащей нормам банковского законодательства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государственно-частного партнерства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и качества создания инфраструктурных объектов и предоставления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государственных расходов на проектирование, строительство и/или модернизацию, эксплуатацию, содержание инфраструктурных объектов и предоставление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экономику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дополнительного управленческого потенциала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достижение оптимального соотношения цены в течение жизненного цикла активов и качества или соответствия их назначению при реализации инфраструктурных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инноваций и эффективности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стимулирование роста и развития новых технологий.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(палее - ГЧП) - это сотрудничество между государственным и частным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партнером вправе выступать уполномоченный государственный орган в сфере ГЧП совместно с государственными органами, органами местного самоуправления, государственными, муниципальными предприятиями и учреждениями, акционерными обществами, 50 и более процентов голосующих акций которых принадлежат государству, в соответствующей сфере деятельности либо государственные органы, органы местного самоуправления, государственные, муниципальные предприятия и учреждения, акционерные общества, 50 и более процентов голосующих акций которых принадлежат государству, в соответствующей сфере деятельности по малым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партнером вправе выступать юридические лица и индивидуальные предприниматели.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поддержка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ГЧП и обеспечение исполнения обязательств государственных партнеров по соглашениям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зарегистрированное в соответствии с законодательством Кыргызской Республики или законодательством иностранного государства, консорциум, заинтересованное в участии в конкурсе и/или инициировании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квалификаций для участия в конкурсе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разрабатываемый, утверждаемый уполномоченным органом по организации конкурса и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 (цели и задачи, предполагаемая сумма инвестиций и срок реализации проекта ГЧП);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квалификационные требования к участникам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критерии оценки и отбора частного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для подачи заявок на участие в квалификационном отборе;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иную информацию, устанавливающую требования к участникам конкурса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предложений для участия в конкурсе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уполномоченным органом по организации конкурса, содержащий требования к техническим и финансовым предложениям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находящийся в государственной, муниципальной или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малые проекты ГЧП</w:t>
      </w:r>
      <w:r>
        <w:rPr>
          <w:rFonts w:ascii="Arial" w:cs="Arial" w:eastAsia="Arial" w:hAnsi="Arial"/>
          <w:sz w:val="24"/>
          <w:szCs w:val="24"/>
        </w:rPr>
        <w:t xml:space="preserve"> - проекты ГЧП, предполагаемые инвестиции по которым составляют сумму, равную или менее 100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ГЧП</w:t>
      </w:r>
      <w:r>
        <w:rPr>
          <w:rFonts w:ascii="Arial" w:cs="Arial" w:eastAsia="Arial" w:hAnsi="Arial"/>
          <w:sz w:val="24"/>
          <w:szCs w:val="24"/>
        </w:rPr>
        <w:t xml:space="preserve"> - урегулированный соглашением о ГЧП комплекс взаимоотношений государственного и частного партнера по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"проектной песочницы"</w:t>
      </w:r>
      <w:r>
        <w:rPr>
          <w:rFonts w:ascii="Arial" w:cs="Arial" w:eastAsia="Arial" w:hAnsi="Arial"/>
          <w:sz w:val="24"/>
          <w:szCs w:val="24"/>
        </w:rPr>
        <w:t xml:space="preserve"> - специальный регуляторный режим, регламентирующий порядок пилотной реализации проектов ГЧП, вносимых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ГЧП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конкурсное предложение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включающий техническое и финансовое предложения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конкурсные документы</w:t>
      </w:r>
      <w:r>
        <w:rPr>
          <w:rFonts w:ascii="Arial" w:cs="Arial" w:eastAsia="Arial" w:hAnsi="Arial"/>
          <w:sz w:val="24"/>
          <w:szCs w:val="24"/>
        </w:rPr>
        <w:t xml:space="preserve"> - запрос квалификаций и запрос предложений для участия в конкурсе и проект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технической, экономической, юридической, экологической, финансовой оценки, оценки ключевых рисков, жизнеспособности проекта, а также обоснование реализации в форме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конкурса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участвующий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координации проектов ГЧП</w:t>
      </w:r>
      <w:r>
        <w:rPr>
          <w:rFonts w:ascii="Arial" w:cs="Arial" w:eastAsia="Arial" w:hAnsi="Arial"/>
          <w:sz w:val="24"/>
          <w:szCs w:val="24"/>
        </w:rPr>
        <w:t xml:space="preserve"> - уполномоченное государственное учреждение по развитию механизмов ГЧП и продвижению проектов ГЧП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acokvchkg7a9n91wk4i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Принципы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справедливость, партнерство и свобода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стабильность и долгосрочная устойчивость;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справедливое распределение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охрана окружающей среды и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проведения проверок со стороны правоохранительных и проверяющих органов до 3 лет после подписания соглашения о ГЧП, за исключением налоговых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Законы и подзаконные акты, принятые после заключения соглашения по ГЧП, и затрагивающие вопросы ГЧП, не применяются в отношении действующих соглашений по проекту, за исключением случаев, когда инициатива о необходимости их применения исходит от частного партнера. В этом случае внесение изменений в действующие соглашения осуществляется в порядке, предусмотренным соответствующими соглашениями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соответствующих действий, направленных на защиту жизни и здоровья граждан и окружающей среды, мониторинг реализации проекта ГЧП осуществляются государственным партнером в соответствии с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предоставляемой государственной поддержки определяются Кабинетом Министров Кыргызской Республики и процедурами,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z4qklaaf28dxivoifbs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Вклады в реализацию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Вкладами в реализацию проекта ГЧП могут быть материальные и/или нематериальные активы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Материальными активами признаются (в том числе, но не ограничиваясь) денежные средства, включая средства государственного бюджета, движимое и недвижимое имущество, включая предприятия как имущественные комплексы, товары и иные объекты,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Нематериальными активами признаются (в том числе, но не ограничиваясь) гарантии выполнения обязательств государственного партнера; объекты прав интеллектуальной собственности, права требования, личные неимущественные права, информация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источников вложения в реализацию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и (или)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и/или муниципальное имущество, находящееся в ведении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привлеченные и иные средства,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Вклады в проекты ГЧП могут предоставляться сроком до 49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Стадии реализации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реализации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конкурса на отбор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соглашения о ГЧП и его реализация.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Инициирование проекта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Инициирование проекта ГЧП осуществляется государственным партнером путем направления письма в уполномоченный государственный орган в сфере ГЧП либо заинтересованным лицом путем направления письма о намерении реализации проекта ГЧП государственному партнеру и уполномоченному государственному органу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направления письма о намерении реализации проекта ГЧП государственный партнер или заинтересованное лицо переходит на стадию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инициирования проекта ГЧП уполномоченным государственным органом в сфере ГЧП уполномоченный государственный орган определяет государственный орган, орган местного самоуправления, государственное, муниципальное предприятие и учреждение Кыргызской Республики, акционерное общество, 50 и более процентов голосующих акций которого принадлежат государству, в соответствующей сфере деятельности в качестве совместного государственного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_687ytoinqekqwlbiwm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Подготовка проекта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или заинтересованным лицом путем подготовки предложения о реализации проекта ГЧП или предложения о частной инициативе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подготовки проектов ГЧП и развития ГЧП решением Кабинета Министров Кыргызской Республики могут создаваться фонды по подготовке проектов ГЧП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Фонда, направленные на подготовку проектов ГЧП подлежат возмещению частным партнером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реализации проекта ГЧП или предложение о частной инициативе утверждается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утверждения предложения о реализации проекта ГЧП или предложения о частной инициативе государственный партнер осуществляет подготовку конкурсных документов с включением в бюджет проекта ГЧП финансовых средств на проведение мониторинга проекта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проект ГЧП предусматривает получение средств из государственного бюджета, то конкурсные документы до утверждения подлежат согласованию с соответствующим государственным органом по бюджетной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согласование конкурсных документов на предмет фискальных рисков для государственного бюджета, в том числе по вопросам прямых и условных обязательств, осуществляется государственным органом по бюджетной политике в течение 30 календарных дней с даты получения конкурсных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утверждает конкурсную документацию, формирует и утверждает конкурсную комиссию и проводит конкурс по отбору частного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членов конкурсной комиссии должно быть нечетным и составлять не менее пяти человек. В состав конкурсной комиссии входят представители государственного партнера, специалист, обладающий опытом и знаниями по соответствующему инфраструктурному объекту, специалисты в области экономики или финансов, юриспруденции, представитель местного сообщества, на которое проект будет оказывать непосредственное влияние. Члены конкурсной комиссии не должны иметь конфликта интересов в отношении рассматриваемого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hbib51c04hqygrl-tye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Стадии проведения конкурса по проектам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конкурса уполномоченным органом по организации конкурса. Конкурс проводится в порядке, определяемом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органом по организации конкурса выступает уполномоченный государственный орган в сфере ГЧП в отношении проектов ГЧП, сумма предполагаемых инвестиций по которым составляет более 100 млн. сомов, либо государственный партнер в соответствующей сфере деятельности - в отношении проектов ГЧП, предполагаемые инвестиции по которым составляют сумму равную или менее 100 млн. сомов (далее - уполномоченный орган по организации конкурса).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конкурса, в соответствии с процедурами, установленными настоящим Законом и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 в соответствии с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сумма инвестиций составляет более 1 млрд. сомов, проект ГЧП может быть присужден путем проведения процедур прямых переговоров при условии, что заинтересованное лицо соответствует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присуждения проекта ГЧП путем прямых переговоров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-_ez_y-z9gqjgblbkh8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Квалификационный отбор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веб-сайте. 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осуществляется конкурсной комиссией в течение срока, указанного в запросе квалификаций для участия в конкурсе, но не менее 30 и не более 90 календарных дней с даты публикации запроса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ymoeios8zl-mpgy6xbl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конкурса уполномоченный орган по организации конкурса предоставляет запрос предложений для участия в конкурсе и проект соглашения о ГЧП участникам конкурса, прошедшим квалификационный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конкурса, прошедшие квалификационный отбор, вправе вносить предложения о внесении изменений в запрос предложений для участия в конкурсе и/или проект соглашения о ГЧП в течение 10 календарных дней с даты направления участникам конкурса запроса предложений для участия в конкурсе и/или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запрос предложений для участия в конкурсе и/или проект соглашения о ГЧП. Измененный запрос предложений для участия в конкурсе и/или проект соглашения о ГЧП подлежит утверждению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запрос предложений для участия в конкурсе и/или проект соглашения о ГЧП срок сбора конкурсных предложений продлевается не более чем на 15 календарных дней с даты утверждения изменений в запрос предложений для участия в конкурсе и/или проект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запрос предложений для участия в конкурсе и/или проект соглашения о ГЧП должен быть доведен до сведения всех участников конкурса, прошедших квалификационный отбор, не позднее следующего календарного дня с даты утверждения изменений в запрос предложений для участия в конкурсе и/или проект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конкурсных предложений, включающих технические и финансовые предложения, проводится конкурсной комиссией в течение срока, указанного в запросе предложений для участия в конкурсе, но не менее 30 и не более 90 календарных дней с даты направления участникам конкурса, прошедшим квалификационный отбор, запроса предложений для участия в конкурсе и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публикует информацию о победителе конкурса на официальном веб-сайте уполномоченного органа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Расходы, понесенные участниками конкурса в связи с участием в конкурсе, независимо от результатов конкурса не подлежат возмещению.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конкурсной комиссией несоответствия действительности предоставленной победителем конкурса информации, при условии документального подтверждения такого несоответствия,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gfhinhhsln08wdt_wxy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Соглашение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 ГЧП должен содержать следующие условия: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сторон, предмет соглашения, права и обязанности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объекта ГЧП с учетом его технико-экономических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сроки инновационных разработок, проектирования, строительства, реконструкции, модернизации (восстановления) и управления объектов инфраструктуры и оказания услуг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сроки технического обслуживания объекта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дохода и его распределение;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рисков между государственным и частным партнерами;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проведения мониторинга и контроля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источники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владения, пользования и распоряжения инфраструктурным объектом;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и порядок действия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сроки и порядок возмещения расходов сторонами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порядок изменения соглашения о ГЧП и основания досрочного прекращения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определение дальнейшей юридической судьбы инфраструктурного объекта, переданного частному партнеру, в связи с исполнением соглашения о ГЧП, после прекращения действия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предоставление частным партнером финансовых гарантий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предоставление государственным партнером гарантий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ответственность сторон в случае неисполнения или ненадлежащего исполнения обязательств по соглашению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порядок разрешения споров, вытекающих из соглашения о ГЧП и связанных с реализацией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действия сторон в случае наступления форс-мажорных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qay-7fmv1akjuad-lbe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с победителем конкурса в течение 20 календарных дней со дня опубликования информации о победителе конкурса в средствах массовой информации и на официальном сайте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объявления победителем консорциума срок заключения соглашения о ГЧП может быть продлен дополнительно на 40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Победитель конкурса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письменного согласия государственного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частный партнер и/или проектная компания с уведомлением государственного партнера вправе заключать соглашения о финансировании с банковскими и финансово-кредитными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cvomsfoycjkkzmpkj1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Прекращение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досрочно в случаях, предусмотренных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вытекающим из соглашения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Последствия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услуг и предоставления ресурсов, включая поставку запасных частей, если это требуется, в течение не менее 3 месяцев после передачи инфраструктурного объекта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частного партнера влечет для него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Реализация проектов ГЧП по принципу "проектной песочницы"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апробации новых инновационных проектов ГЧП в пилотном режиме уполномоченный государственный орган в соответствии с позицией уполномоченного государственного органа в области инновационной деятельности может внести предложение заинтересованному лицу о реализации проекта ГЧП в режиме "проектной песочницы".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согласия заинтересованного лица по реализации проекта ГЧП в режиме "проектной песочницы" уполномоченный государственный орган в сфере ГЧП вносит соответствующий проект нормативного правового акта Кабинету Министров Кыргызской Республики о реализации проекта ГЧП в режиме "проектной песочницы".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Кабинетом Министров Кыргызской Республики соответствующего решения о реализации проекта ГЧП в режиме "проектной песочницы" Кабинет Министров Кыргызской Республики определяет государственного партнера по проекту ГЧП. Уполномоченный государственный орган в сфере ГЧП совместно с государственным партнером заключает соответствующее соглашение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реализации проекта ГЧП в режиме "проектной песочницы" осуществляет государственный партнер и в случае его социально-экономической эффективности вносит предложения Кабинету Министров Кыргызской Республики о принятии мер по применению данной технологии в Кыргызской Республике в рамках данного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aygq5b584yrpkbkkpkx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сторонами соглашения ГЧП в связи с заключением, исполнением и прекращением соглашения о ГЧП, разрешаются путем проведения переговоров в соответствии с положениями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урегулирования сторонами спора путем переговоров спор подлежит рассмотрению в судебных органах Кыргызской Республики в соответствии с законодательством Кыргызской Республики, если в соглашении о ГЧП не предусмотрена иная процедура, в том числе рассмотрению спора в международных судах или арбитражах.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Государственная регистрация проектов ГЧП и их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ГЧП, по которым заключены соответствующие соглашения, а также их субъекты подлежат обязательной государственной регистрации в государственном реестре проектов ГЧП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государственной регистрации проектов ГЧП, по которым были заключены соответствующие соглашения, а также их субъектов в государственном реестре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20-1. Уполномоченный орган по координации проектов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разработки проектов ГЧП особой значимости,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реализации проектов ГЧП, включая мониторинг достижения их целевых индикаторов;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теоретических знаний и практического опыта государственных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деятельности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государственного реестра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региональных представительств.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sfofi1i1gdfjk57qwye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календарных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intns96g3qn3pxh6j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от 22 июля 2019 года № 95 (Ведомости Жогорку Кенеша Кыргызской Республики, 2019 г., № 7-8, ст.483);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6 </w:t>
      </w:r>
      <w:hyperlink w:history="1" r:id="rIdt6fxxjzzqh6opp07ue5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поддержки инвестиций" от 26 декабря 2020 года № 12 (газета "Эркин Тоо" от 5 января 2021 года №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соответствующие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al8f2fu3ndasxubscaj" Type="http://schemas.openxmlformats.org/officeDocument/2006/relationships/hyperlink" Target="http://kodeks.duckdns.org/document/230030330" TargetMode="External"/><Relationship Id="rId_acokvchkg7a9n91wk4i6" Type="http://schemas.openxmlformats.org/officeDocument/2006/relationships/hyperlink" Target="http://kodeks.duckdns.org/document/230030330" TargetMode="External"/><Relationship Id="rIdxz4qklaaf28dxivoifbsv" Type="http://schemas.openxmlformats.org/officeDocument/2006/relationships/hyperlink" Target="http://kodeks.duckdns.org/document/230030330" TargetMode="External"/><Relationship Id="rIdg_687ytoinqekqwlbiwml" Type="http://schemas.openxmlformats.org/officeDocument/2006/relationships/hyperlink" Target="http://kodeks.duckdns.org/document/230030330" TargetMode="External"/><Relationship Id="rId-hbib51c04hqygrl-tye4" Type="http://schemas.openxmlformats.org/officeDocument/2006/relationships/hyperlink" Target="http://kodeks.duckdns.org/document/230030330" TargetMode="External"/><Relationship Id="rIdp-_ez_y-z9gqjgblbkh8w" Type="http://schemas.openxmlformats.org/officeDocument/2006/relationships/hyperlink" Target="http://kodeks.duckdns.org/document/230030330" TargetMode="External"/><Relationship Id="rIdlymoeios8zl-mpgy6xblu" Type="http://schemas.openxmlformats.org/officeDocument/2006/relationships/hyperlink" Target="http://kodeks.duckdns.org/document/230030330" TargetMode="External"/><Relationship Id="rId6gfhinhhsln08wdt_wxyp" Type="http://schemas.openxmlformats.org/officeDocument/2006/relationships/hyperlink" Target="http://kodeks.duckdns.org/document/230030330" TargetMode="External"/><Relationship Id="rIdpqay-7fmv1akjuad-lbej" Type="http://schemas.openxmlformats.org/officeDocument/2006/relationships/hyperlink" Target="http://kodeks.duckdns.org/document/230030330" TargetMode="External"/><Relationship Id="rIdnycvomsfoycjkkzmpkj1n" Type="http://schemas.openxmlformats.org/officeDocument/2006/relationships/hyperlink" Target="http://kodeks.duckdns.org/document/230030330" TargetMode="External"/><Relationship Id="rId1aygq5b584yrpkbkkpkx-" Type="http://schemas.openxmlformats.org/officeDocument/2006/relationships/hyperlink" Target="http://kodeks.duckdns.org/document/230030330" TargetMode="External"/><Relationship Id="rIdqsfofi1i1gdfjk57qwyer" Type="http://schemas.openxmlformats.org/officeDocument/2006/relationships/hyperlink" Target="http://kodeks.duckdns.org/document/230030330" TargetMode="External"/><Relationship Id="rId2intns96g3qn3pxh6jifs" Type="http://schemas.openxmlformats.org/officeDocument/2006/relationships/hyperlink" Target="http://kodeks.duckdns.org/document/111942" TargetMode="External"/><Relationship Id="rIdt6fxxjzzqh6opp07ue5_9" Type="http://schemas.openxmlformats.org/officeDocument/2006/relationships/hyperlink" Target="http://kodeks.duckdns.org/document/11217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2026-09-23T13:14:44.296Z</dcterms:created>
  <dcterms:modified xsi:type="dcterms:W3CDTF">2026-09-23T13:14:44.296Z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