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“О дорожном движений в Кыргызской Республике”, Кодекс Кыргызской Республики о правонарушениях, Кодекс Кыргызской Республики о неналоговых доходах)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bwdboowshfwnz_nc-8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yz904-pfd8bd9pc8uc0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23-1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получать на платной основе разрешение на тонирование боковых стекол передних дверей транспортного средства в порядке, определяемом Кабинетом Министров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mcouati146eysjot4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г., № 122-123)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 примечание к </w:t>
      </w:r>
      <w:hyperlink w:history="1" r:id="rIdo5uhywswdhoz8ht8aoo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Управление водителем транспортным средством с тонированным лобовым и (или) боковыми стеклами передних дверей, в том числе кустарного, промышленного изготовления либо с использованием на них шторок или с наличием на стеклах зеркального тонирующего покрытия, без разрешения уполномоченного государственного органа на тонирование боковых стекол передних дверей транспортного средства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- 400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Настоящая норма не распространяется на специальные автомашины, перечень которых устанавливается Кабинетом Министров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f14swtzy2gpj-bphz8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Кодекс дополнить </w:t>
      </w:r>
      <w:hyperlink w:history="1" r:id="rIdj6s2y8npndakzizxz-h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h2nxdzgho8ja1i8pd8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13-1</w:t>
        </w:r>
      </w:hyperlink>
      <w:r>
        <w:rPr>
          <w:rFonts w:ascii="Arial" w:cs="Arial" w:eastAsia="Arial" w:hAnsi="Arial"/>
          <w:sz w:val="24"/>
          <w:szCs w:val="24"/>
        </w:rPr>
        <w:t xml:space="preserve">. Сбор за выдачу разрешения на тонирование боковых
 стекол передних дверей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50-1. Плательщик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сбора являются владельцы транспортных средств, получающие разрешение на тонирование боковых стекол передних дверей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50-2. Размер сбора и порядок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сбора определяются Кабинетом Министров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tp9-sp0xifzypfhdnm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сбор за выдачу разрешения на тонирование боковых стекол передних дверей транспортных средств;".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марта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8suhk27y3akj35ldz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dalil.kg/document/112360</w:t>
      </w:r>
    </w:hyperlink>
  </w:p>
  <w:p>
    <w:pPr>
      <w:spacing w:after="0" w:before="40"/>
      <w:jc w:val="center"/>
    </w:pPr>
    <w:hyperlink w:history="1" r:id="rIdtehcmgv8n51dmizw_xv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wdboowshfwnz_nc-8gs" Type="http://schemas.openxmlformats.org/officeDocument/2006/relationships/hyperlink" Target="https://dalil.kg/document/60" TargetMode="External"/><Relationship Id="rIdyz904-pfd8bd9pc8uc0vo" Type="http://schemas.openxmlformats.org/officeDocument/2006/relationships/hyperlink" Target="https://dalil.kg/document/60#st_23_1" TargetMode="External"/><Relationship Id="rIdugmcouati146eysjot4iz" Type="http://schemas.openxmlformats.org/officeDocument/2006/relationships/hyperlink" Target="https://dalil.kg/document/112306" TargetMode="External"/><Relationship Id="rIdo5uhywswdhoz8ht8aoo13" Type="http://schemas.openxmlformats.org/officeDocument/2006/relationships/hyperlink" Target="https://dalil.kg/document/112306#st_194" TargetMode="External"/><Relationship Id="rIdbf14swtzy2gpj-bphz8_d" Type="http://schemas.openxmlformats.org/officeDocument/2006/relationships/hyperlink" Target="https://dalil.kg/document/111820" TargetMode="External"/><Relationship Id="rIdj6s2y8npndakzizxz-h5d" Type="http://schemas.openxmlformats.org/officeDocument/2006/relationships/hyperlink" Target="https://dalil.kg/document/111820#g13_1" TargetMode="External"/><Relationship Id="rIdgh2nxdzgho8ja1i8pd8ad" Type="http://schemas.openxmlformats.org/officeDocument/2006/relationships/hyperlink" Target="https://dalil.kg/document/111820#g13_1" TargetMode="External"/><Relationship Id="rIdctp9-sp0xifzypfhdnm1r" Type="http://schemas.openxmlformats.org/officeDocument/2006/relationships/hyperlink" Target="https://dalil.kg/document/111820#st_1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8suhk27y3akj35ldzlr" Type="http://schemas.openxmlformats.org/officeDocument/2006/relationships/hyperlink" Target="https://dalil.kg/document/112360" TargetMode="External"/><Relationship Id="rIdtehcmgv8n51dmizw_xv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2026-09-24T00:53:53.625Z</dcterms:created>
  <dcterms:modified xsi:type="dcterms:W3CDTF">2026-09-24T00:53:53.625Z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