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</w:t>
      </w:r>
      <w:r>
        <w:rPr>
          <w:rFonts w:ascii="Arial" w:cs="Arial" w:eastAsia="Arial" w:hAnsi="Arial"/>
          <w:sz w:val="24"/>
          <w:szCs w:val="24"/>
        </w:rPr>
        <w:t xml:space="preserve">апреля </w:t>
      </w:r>
      <w:r>
        <w:rPr>
          <w:rFonts w:ascii="Arial" w:cs="Arial" w:eastAsia="Arial" w:hAnsi="Arial"/>
          <w:sz w:val="24"/>
          <w:szCs w:val="24"/>
        </w:rPr>
        <w:t xml:space="preserve">2022 года № 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бюджете Фонда обязательного медицинского страхования при Министерстве здравоохранения Кыргызской Республики на 2022 год и прогнозе на 2023-2024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dqexh9fsv2ibgryva0l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января 2023 года № 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Фонда обязательного медицинского страхования при Министерстве здравоохранения Кыргызской Республики (далее - Фонд ОМС) на 2022 год по доходам в сумме 24951939,5 тыс. сомов и расходам в сумме 24951939,5 тыс. сомов согласно </w:t>
      </w:r>
      <w:hyperlink w:history="1" r:id="rIdfoxntshtd3da-ownike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_ugfdxjdxre3ragd3tx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2023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бюджета Фонда ОМС на 2023-2024 годы согласно </w:t>
      </w:r>
      <w:hyperlink w:history="1" r:id="rId_moaz8pa-teipaafwkj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бюджета Фонда ОМС на 2022 год согласно </w:t>
      </w:r>
      <w:hyperlink w:history="1" r:id="rId3q0jchbcdo_fats3jks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расходную часть бюджета Фонда ОМС на 2022 год согласно </w:t>
      </w:r>
      <w:hyperlink w:history="1" r:id="rIdoxdy2bpof0evhbcrmwz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 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nsla2dcx-6t5vcjrj2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бюджет Фонда ОМС на 2022-2024 годы на программной основе согласно </w:t>
      </w:r>
      <w:hyperlink w:history="1" r:id="rIdhodzfo_orpfjpllnxiz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размер ассигнований из республиканского бюджета Кыргызской Республики, передаваемых Фонду ОМС, в сумме: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2022 год - 19538843,9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на 2023 год - 15406246,6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на 2024 год - 15769661,6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Неиспользованные остатки средств республиканского бюджета, переданных Фонду ОМС, подлежат взысканию в доход бюджета, из которого они были предоставлены.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объем средств, передаваемых из бюджета Социального фонда при Кабинете Министров Кыргызской Республики в бюджет Фонда ОМС, в сумме: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2022 год - 3541558,0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на 2023 год - 3232036,8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на 2024 год - 3414623,7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Социальному фонду при Кабинете Министров Кыргызской Республики обеспечивать в течение года своевременное перечисление поступивших средств по страховым взносам в Фонд ОМС в полном объеме.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ri4n7iqrlxshvqbeca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2023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Статьи 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объем оборотной кассовой наличности бюджета Фонда ОМС на 2022 год в сумме 295129,8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оборотную кассовую наличность, образовавшуюся в течение года, на исполнение расходных обязательств Фонда ОМС в случаях возникновения критических ситуаций с финансовым обеспечением программ обязательного медицинского страхования, связанных со стихийными бедствиями, катастрофами, террористическими актами и другими чрезвычайными ситуациями, произошедшими в течение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y3y3xkiagbhu7n3ebp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2023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вправе вносить предложения: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внесении изменений в приложения к настоящему Закону в пределах суммы, утвержденной статьей 1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дополнительном финансировании сверх утвержденного бюджета, необходимом для исполнения неотложных мероприятий, с указанием источников доходов до внесения проекта закона о внесении изменений в настоящий Закон в соответствии с постановлениями и (или) распоряжениями Кабинета Министров Кыргызской Республики по согласованию с профильным комитетом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изменении размеров ассигнований из средств республиканского бюджета Кыргызской Республики и поступлений страховых взносов на обязательное медицинское страхование в сторону уменьшения в случае невыполнения доходных частей республиканского бюджета Кыргызской Республики и бюджета Социального фонда при Кабинете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настоящий Закон в течение бюджетного года могут вноситься изменения не более двух раз - до 1 июня и до 1 ноября текущего бюджетного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период действия чрезвычайного положения/чрезвычайной ситуации на территории Кыргызской Республики Кабинет Министров Кыргызской Республики вправе вносить изменения в параметры бюджета Фонда ОМС и перераспределять бюджетные средства между организациями здравоохранения, работающими в системе Единого плательщика, путем принятия соответствующих решений Кабинета Министров Кыргызской Республики до внесения изменений в настоящий Закон по согласованию с профильным комитетом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базовые нормативы, используемые для расчетов по оплате за оказанные медицинские и иные услуги организациями здравоохранения системы Единого плательщика, на 2022 год согласно приложению 7 к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расчетный показатель по базовому государственному медицинскому страхованию на душу населения на 2022 год в размере не менее двадцати четырех расчетных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полномочия по администрированию формирования и исполнения бюджетов организаций здравоохранения за оказанные услуги на договорной основе и оказанию платных государственных услуг возлагаются на Фонд ОМС.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Остатки неиспользованных средств (кроме ассигнований из республиканского бюджета (трансферты) на счетах Фонда ОМС и организаций здравоохранения, работающих в системе Единого плательщика, переносятся на очередной бюджетный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ОМС в процессе исполнения бюджета несет ответственность за осуществление своевременной и полной оплаты организациям здравоохранения, работающим в системе Единого плательщика, за оказанные услуги на договорной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целевое и эффективное использование средств бюджета Фонда ОМС возлагается на руководителей организаций здравоохранения, работающих в системе Единого плательщика.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Средства, использованные организациями здравоохранения и Фондом ОМС в нарушение законодательства в сфере бюджетного регулирования, а также в сфере здравоохранения и медицинского страхования, подлежат перечислению в доход соответствующего бюджета, из которого они были предоставлены.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подлежит официальному опубликованию и вступает в силу с 1 января 2022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принять необходимые меры, направленные на реализацию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 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Закону Кыргызской Республики "О бюджете Фонда обязательного медицинского страхования при Министерстве здравоохранения Кыргызской Республики на 2022 год и прогнозе на 2023-2024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Министерстве здравоохранения Кыргызской Республики на 2022 год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5ucsuul8ltijod7nii6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2023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8580"/>
        <w:gridCol w:w="983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Код</w:t>
            </w:r>
          </w:p>
        </w:tc>
        <w:tc>
          <w:tcPr>
            <w:tcW w:type="dxa" w:w="85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показателей</w:t>
            </w:r>
          </w:p>
        </w:tc>
        <w:tc>
          <w:tcPr>
            <w:tcW w:type="dxa" w:w="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2022 год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ресурсов: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24951939,5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Доходы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24680865,2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Взносы/отчисления на социальные нужды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30000,0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1231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Полученные официальные трансферты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23218401,9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1312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Трансферты от международных организаций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138000,0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1333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19538843,9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1335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3541558,0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Неналоговые доходы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1432463,3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1423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Поступления от оказания платных услуг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1432463,3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средства сооплаты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667754,1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Остаток на начало года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271074,3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общие расходы: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24951939,5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Расходы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24951939,5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2111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Заработная плата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152831,9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2121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Взносы/отчисления на социальные нужды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23066,6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2211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служебные поездки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8906,4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2212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Услуги связи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1923,4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2213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Арендная плата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7490,6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2214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Транспортные услуги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4039,4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2215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прочих товаров и услуг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10192,6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24710919,1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2221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текущий ремонт имущества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2081,6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2222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4641,7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2224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угля и других видов топлива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2226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оплату услуг банков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2912,4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2231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Коммунальные услуги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1237,6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2823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Исполнение решений суда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250,3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3111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Здания и сооружения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3112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Машины и оборудование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10265,9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3113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Другие основные фонды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9520,0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Закону Кыргызской Республики "О бюджете Фонда обязательного медицинского страхования при Министерстве здравоохранения Кыргызской Республики на 2022 год и прогнозе на 2023-2024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 БЮДЖЕТА
 Фонда обязательного медицинского страхования при Министерстве здравоохранения Кыргызской Республики на 2023-2024 годы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5"/>
        <w:gridCol w:w="6290"/>
        <w:gridCol w:w="1578"/>
        <w:gridCol w:w="1576"/>
      </w:tblGrid>
      <w:tr>
        <w:tc>
          <w:tcPr>
            <w:tcW w:type="dxa" w:w="7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Код</w:t>
            </w:r>
          </w:p>
        </w:tc>
        <w:tc>
          <w:tcPr>
            <w:tcW w:type="dxa" w:w="6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показателей</w:t>
            </w:r>
          </w:p>
        </w:tc>
        <w:tc>
          <w:tcPr>
            <w:tcW w:type="dxa" w:w="1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2023 год
 (прогноз)</w:t>
            </w:r>
          </w:p>
        </w:tc>
        <w:tc>
          <w:tcPr>
            <w:tcW w:type="dxa" w:w="15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2024 год
 (прогноз)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ресурсов: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20480110,5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20879806,1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Доходы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20223517,8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20610469,7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Взносы/отчисления на социальные нужды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12000,0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12000,0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1231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12000,0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12000,0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Полученные официальные трансферты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19086933,4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19473885,3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1333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15854896,6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16059261,6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1335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3232036,8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3414623,7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Неналоговые доходы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1124584,4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1124584,4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1423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Поступления от оказания платных услуг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1124584,4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1124584,4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средства сооплаты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529968,4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529968,4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Остаток на начало года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256592,7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269336,4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общие расходы: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20480110,5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20879806,1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Расходы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20480110,5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20879806,1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2111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Заработная плата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159262,8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159262,8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2121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Взносы/отчисления на социальные нужды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23982,4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23982,4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2211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служебные поездки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9056,4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9056,4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2212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Услуги связи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2435,5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2435,5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2213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Арендная плата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6745,6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6745,6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2214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Транспортные услуги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4039,4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4039,4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2215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прочих товаров и услуг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11105,4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11105,4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20219610,5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20619306,1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2221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текущий ремонт имущества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3531,6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3531,6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2222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5048,3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2224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угля и других видов топлива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160,0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2226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оплату услуг банков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1612,4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2231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Коммунальные услуги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1244,2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3111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Здания и сооружения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2550,0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3112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Машины и оборудование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17906,0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3113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Другие основные фонды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11820,0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Закону Кыргызской Республики "О бюджете Фонда обязательного медицинского страхования при Министерстве здравоохранения Кыргызской Республики на 2022 год и прогнозе на 2023-2024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Министерстве здравоохранения Кыргызской Республики на 2022 год – Доходы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3u3nmuwrtxqmbewho0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2023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2"/>
        <w:gridCol w:w="8513"/>
        <w:gridCol w:w="973"/>
      </w:tblGrid>
      <w:tr>
        <w:tc>
          <w:tcPr>
            <w:tcW w:type="dxa" w:w="6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Код</w:t>
            </w:r>
          </w:p>
        </w:tc>
        <w:tc>
          <w:tcPr>
            <w:tcW w:type="dxa" w:w="8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доходов</w:t>
            </w:r>
          </w:p>
        </w:tc>
        <w:tc>
          <w:tcPr>
            <w:tcW w:type="dxa" w:w="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2022 год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Доходы с учетом остатка на начало года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24951939,5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Остаток на начало года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271074,3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Доходы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24680865,2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Взносы/отчисления на социальные нужды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30000,0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1231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30000,0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12311200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Поступления от выдачи полиса ОМС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30000,0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Полученные официальные трансферты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23218401,9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1312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Трансферты от международных организаций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138000,0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13121100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Текущие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138000,0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1333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19538843,9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13332100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Средства, полученные из республиканского бюджета на базовое государственное медицинское страхование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19082714,5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13332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Средства, полученные из республиканского бюджета в качестве компенсации страховых взносов на льготные категории населения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456129,4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13332210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детей до 16 лет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359917,4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13332220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пенсионеров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82142,0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13332230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инвалидов с детства и лиц, получающих социальные пособия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8996,1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13332240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заведений, студентов средних и высших профессиональных учебных заведений до достижения ими возраста 21 года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3692,6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13332250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безработных граждан, официально зарегистрированных в государственной службе занятости населения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930,8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13332260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службы, офицеров, прапорщиков, военнослужащих сверхсрочной службы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450,5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1335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3541558,0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13351100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Средства, полученные из бюджета Социального фонда на обязательное медицинское страхование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3541558,0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Неналоговые доходы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1432463,3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1423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Поступления от оказания платных услуг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1432463,3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средства сооплаты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667754,1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Закону Кыргызской Республики "О бюджете Фонда обязательного медицинского страхования при Министерстве здравоохранения Кыргызской Республики на 2022 год и прогнозе на 2023-2024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Министерстве здравоохранения Кыргызской Республики на 2022 год - Расходы
 </w:t>
      </w:r>
      <w:r>
        <w:rPr>
          <w:rFonts w:ascii="Arial" w:cs="Arial" w:eastAsia="Arial" w:hAnsi="Arial"/>
          <w:sz w:val="24"/>
          <w:szCs w:val="24"/>
        </w:rPr>
        <w:t xml:space="preserve">(по ведомственной классификации и экономической классификации расходов)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wkioiv43a37wnz3iry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2023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8668"/>
        <w:gridCol w:w="973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Код</w:t>
            </w:r>
          </w:p>
        </w:tc>
        <w:tc>
          <w:tcPr>
            <w:tcW w:type="dxa" w:w="8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показателей</w:t>
            </w:r>
          </w:p>
        </w:tc>
        <w:tc>
          <w:tcPr>
            <w:tcW w:type="dxa" w:w="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2022 год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24951939,5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36110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Фонд обязательного медицинского страхования (аппарат)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73707,0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2111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Заработная плата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52632,5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Взносы/отчисления на социальные нужды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7918,2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служебные поездки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Услуги связи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660,1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2213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Арендная плата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4720,0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2214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Транспортные услуги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956,0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2215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прочих товаров и услуг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940,5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текущий ремонт имущества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1190,0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2823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Исполнение решений суда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250,3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Машины и оборудование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1419,4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73707,0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36121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Фонд обязательного медицинского страхования (подведомственные учреждения)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139151,5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2111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Заработная плата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100199,4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Взносы/отчисления на социальные нужды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15148,4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служебные поездки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5906,4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Услуги связи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465,6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2213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Арендная плата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2770,6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2214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Транспортные услуги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3083,4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2215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прочих товаров и услуг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2535,7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текущий ремонт имущества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1474,0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2655,0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2224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угля и других видов топлива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2226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оплату услуг банков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12,4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2231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Коммунальные услуги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1237,6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Здания и сооружения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Машины и оборудование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2003,0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139151,5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36131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Фонд обязательного медицинского страхования - Единый плательщик (подведомственные учреждения здравоохранения)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404876,7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404876,7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404876,7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36141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Фонд обязательного медицинского страхования - Единый плательщик (подведомственные учреждения здравоохранения)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22171004,2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22171004,2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22171004,2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36210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Фонд обязательного медицинского страхования (государственные программы, мероприятия и выплаты)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1832578,4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1832578,4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1832578,4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36220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Фонд обязательного медицинского страхования (улучшение технического оснащения и внедрение новейших технологий в области медицины)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6830,0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6830,0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6830,0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36230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(аппарат)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23580,7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Услуги связи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320,5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2215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прочих товаров и услуг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6429,2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текущий ремонт имущества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361,0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2226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оплату услуг банков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2900,0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Машины и оборудование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3830,0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3113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Другие основные фонды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9520,0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23580,7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36230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(подведомственные учреждения)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4581,2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Услуги связи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477,2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2215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прочих товаров и услуг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287,2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текущий ремонт имущества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367,6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435,7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Машины и оборудование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3013,5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4581,2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36240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Фонд обязательного медицинского страхования (изготовление полисов ОМС и рецептурных бланков)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500,0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2215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прочих товаров и услуг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500,0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36310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Фонд обязательного медицинского страхования (страховой запас)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295129,8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295129,8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295129,8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РАСХОДОВ: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24951939,5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2111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Заработная плата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152831,9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Взносы/отчисления на социальные нужды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23066,6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служебные поездки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8906,4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Услуги связи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1923,4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2213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Арендная плата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7490,6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2214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Транспортные услуги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4039,4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2215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прочих товаров и услуг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10192,6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24710919,1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текущий ремонт имущества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2081,6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4641,7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2224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угля и других видов топлива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2226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оплату услуг банков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2912,4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2231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Коммунальные услуги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1237,6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2823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Исполнение решений суда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250,3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 операционные расходы: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24930653,6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Здания и сооружения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Машины и оборудование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10265,9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3113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Другие основные фонды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9520,0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 нефинансовые активы: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21285,9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РАСХОДОВ: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24951939,5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Закону Кыргызской Республики "О бюджете Фонда обязательного медицинского страхования при Министерстве здравоохранения Кыргызской Республики на 2022 год и прогнозе на 2023-2024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Министерстве здравоохранения Кыргызской Республики на 2022 год - Расходы
 </w:t>
      </w:r>
      <w:r>
        <w:rPr>
          <w:rFonts w:ascii="Arial" w:cs="Arial" w:eastAsia="Arial" w:hAnsi="Arial"/>
          <w:sz w:val="24"/>
          <w:szCs w:val="24"/>
        </w:rPr>
        <w:t xml:space="preserve">(по функциональной классификации)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ne0birivendwhpvuxaq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2023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right"/>
      </w:pPr>
      <w:r>
        <w:rPr>
          <w:rFonts w:ascii="Arial" w:cs="Arial" w:eastAsia="Arial" w:hAnsi="Arial"/>
          <w:sz w:val="20"/>
          <w:szCs w:val="20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8513"/>
        <w:gridCol w:w="1050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Код</w:t>
            </w:r>
          </w:p>
        </w:tc>
        <w:tc>
          <w:tcPr>
            <w:tcW w:type="dxa" w:w="8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показателей (по функциям)</w:t>
            </w:r>
          </w:p>
        </w:tc>
        <w:tc>
          <w:tcPr>
            <w:tcW w:type="dxa" w:w="1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2022 год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Фонд обязательного медицинского страхования - Единый плательщик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24951939,5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428956,3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70711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428956,3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428956,3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льготное лекарственное обеспечение по Программе государственных гарантий по обеспечению граждан медико-санитарной помощью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52000,0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льготное лекарственное обеспечение по обязательному медицинскому страхованию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376956,3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7072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Амбулаторные услуги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14446363,0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70721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Медицинские услуги общего профиля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12818149,2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12818149,2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70722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Специализированные медицинские услуги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1407937,6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1407937,6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70723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Стоматологические услуги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220276,2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220276,2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7073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Услуги больниц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8752096,8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70731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Услуги больниц общего профиля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4565089,9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4565089,9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70732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Услуги специализированных больниц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2589711,2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2589711,2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70733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Услуги медицинских центров, гинекологических больниц и родильных домов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451219,2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451219,2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70735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Услуги больниц и центров восстановительного лечения для детей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1146076,5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1146076,5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7074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Услуги в области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260284,6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70741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Станции скорой и неотложной помощи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260284,6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260284,6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7075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258705,2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70751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258705,2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258705,2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608289,0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70761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608289,0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2111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Заработная плата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152831,9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Взносы/отчисления на социальные нужды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23066,6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служебные поездки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8906,4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2212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Услуги связи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1923,4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2213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Арендная плата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7490,6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2214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Транспортные услуги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4039,4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2215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прочих товаров и услуг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10192,6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367268,6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текущий ремонт имущества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2081,6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2222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4641,7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2224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угля и других видов топлива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оплату услуг банков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2912,4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2231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Коммунальные услуги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1237,6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2823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Исполнение решений суда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250,3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Здания и сооружения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3112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Машины и оборудование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10265,9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3113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Другие основные фонды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9520,0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70769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Другие услуги в области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197244,6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197244,6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Итого: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24951939,5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Закону Кыргызской Республики "О бюджете Фонда обязательного медицинского страхования при Министерстве здравоохранения Кыргызской Республики на 2022 год и прогнозе на 2023-2024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Министерстве здравоохранения Кыргызской Республики на 2022-2025 годы на программной основе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z3_lpwca9cicykckar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2023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2"/>
        <w:gridCol w:w="324"/>
        <w:gridCol w:w="2174"/>
        <w:gridCol w:w="668"/>
        <w:gridCol w:w="668"/>
        <w:gridCol w:w="668"/>
        <w:gridCol w:w="668"/>
        <w:gridCol w:w="1942"/>
        <w:gridCol w:w="710"/>
        <w:gridCol w:w="602"/>
        <w:gridCol w:w="478"/>
        <w:gridCol w:w="478"/>
        <w:gridCol w:w="478"/>
      </w:tblGrid>
      <w:tr>
        <w:tc>
          <w:tcPr>
            <w:tcW w:type="dxa" w:w="32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Код ПР</w:t>
            </w:r>
          </w:p>
        </w:tc>
        <w:tc>
          <w:tcPr>
            <w:tcW w:type="dxa" w:w="3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Код МЕ</w:t>
            </w:r>
          </w:p>
        </w:tc>
        <w:tc>
          <w:tcPr>
            <w:tcW w:type="dxa" w:w="21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Бюджетные программы/Бюджетные меры</w:t>
            </w:r>
          </w:p>
        </w:tc>
        <w:tc>
          <w:tcPr>
            <w:tcW w:type="dxa" w:w="267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Индикатор результативности</w:t>
            </w:r>
          </w:p>
        </w:tc>
        <w:tc>
          <w:tcPr>
            <w:tcW w:type="dxa" w:w="7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Ед. измерения</w:t>
            </w:r>
          </w:p>
        </w:tc>
        <w:tc>
          <w:tcPr>
            <w:tcW w:type="dxa" w:w="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Базовый год</w:t>
            </w:r>
          </w:p>
        </w:tc>
        <w:tc>
          <w:tcPr>
            <w:tcW w:type="dxa" w:w="143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Целевые значения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2022 год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2023 год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2024 год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2025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2023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2024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2025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001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Программа 1. Управление и администрирование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Цели программы: институциональное усиление Фонда обязательного медицинского страхования при Министерстве здравоохранения Кыргызской Республики (далее - Фонд ОМС) в качестве Единого плательщика. Координирующее и организационное воздействие на реализацию других программ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Охват населения обязательным медицинским страхованием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001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и администрирование отрасли на центральном уровне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97787,7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120136,3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120136,3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120136,3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Уровень исполнения индикаторов Плана реализации Стратегии развития Фонда ОМС на 2019-2023 годы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95,0%</w:t>
            </w:r>
          </w:p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001</w:t>
            </w:r>
          </w:p>
        </w:tc>
        <w:tc>
          <w:tcPr>
            <w:tcW w:type="dxa" w:w="3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</w:t>
            </w:r>
          </w:p>
        </w:tc>
        <w:tc>
          <w:tcPr>
            <w:tcW w:type="dxa" w:w="21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Администрирование на региональном уровне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143732,7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165013,7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165013,7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165013,7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 показатель Индекса доверия населения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Уровень исполнения индикаторов договоров с поставщиками медицинских услуг по Программе государственных гарантий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 по Программе 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241520,4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285150,0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285150,0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285150,0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002</w:t>
            </w:r>
          </w:p>
        </w:tc>
        <w:tc>
          <w:tcPr>
            <w:tcW w:type="dxa" w:w="3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6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Программа 2. Предоставление услуг первичной медико-санитарной помощи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Цели программы: раннее выявление и диагностика заболеваний, повышение качества и эффективности предоставления медицинской и профилактической помощи на уровне первичной медико-санитарной помощи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расходов на первичную медико-санитарную помощь в общих расходах по другим программам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41,5%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посещений к врачам групп семейных врачей на 1 жителя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2,5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2,5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2,5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Уровень удовлетворенности пациентов (по оценочной карте)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002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доступности экстренной (скорой) медицинской помощи населению республики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466089,2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500000,0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соответствия количества фактически функционирующих бригад скорой медицинской помощи к утвержденному количеству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002</w:t>
            </w:r>
          </w:p>
        </w:tc>
        <w:tc>
          <w:tcPr>
            <w:tcW w:type="dxa" w:w="3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</w:t>
            </w:r>
          </w:p>
        </w:tc>
        <w:tc>
          <w:tcPr>
            <w:tcW w:type="dxa" w:w="21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доступности базовых медицинских услуг на уровне первичной медико-санитарной помощи населению республики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3783570,0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4518622,0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4672156,8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4815683,7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новорожденных, обслуженных семейным врачом (врачом общей практики) в первые 3 дня после выписки из родильного дома, %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женщин, вставших на учет по беременности в сроке до 12 недель, %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беременных женщин, получивших базовый пакет антенатальных услуг на уровне первичной медико-санитарной помощи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85%</w:t>
            </w:r>
          </w:p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002</w:t>
            </w:r>
          </w:p>
        </w:tc>
        <w:tc>
          <w:tcPr>
            <w:tcW w:type="dxa" w:w="3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03</w:t>
            </w:r>
          </w:p>
        </w:tc>
        <w:tc>
          <w:tcPr>
            <w:tcW w:type="dxa" w:w="21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доступности стоматологической помощи населению в рамках Программы государственных гарантий по обеспечению граждан медико-санитарной помощью (далее - Программа государственных гарантий)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286710,1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300000,0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300000,0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300000,0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Охват беременных женщин, вставших на учет по беременности, профилактическими осмотрами у стоматолога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абс. ч.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72500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72500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72500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санированных беременных женщин, вставших на учет по беременности, из числа выявленных при профилактическом осмотре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детей до 10 лет, прошедших профилактический осмотр, из числа организованной группы (школы, детсады)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детей до 10 лет, прошедших санацию полости рта, из числа выявленных при профилактическом осмотре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002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04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доступности медицинской помощи по борьбе с туберкулезом, оказываемой организациями первичной медико-санитарной помощи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26880,4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27168,0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27168,0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27168,0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случаев туберкулеза с успешным завершением лечения на амбулаторном уровне в пилотных организациях здравоохранения первичной медико-санитарной помощи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2292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1835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1950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002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05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доступа населения республики к льготному лекарственному обеспечению по Программе государственных гарантий (онкологическим больным в терминальной стадии; больным параноидной шизофренией и хроническими бредовыми расстройствами; аффективными расстройствами различного генеза; больным эпилепсией; больным бронхиальной астмой)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70000,0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Уровень возмещения реализованных лекарств по рецептам Программы государственных гарантий на амбулаторном уровне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002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06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доступа застрахованного населения республики к льготному лекарственному обеспечению по обязательному медицинскому страхованию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376956,3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466770,1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536785,6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617303,5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Уровень возмещения реализованных лекарств по рецептам обязательного медицинского страхования на амбулаторном уровне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002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07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Оказание населению платных медицинских услуг сверх объема Программы государственных гарантий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211503,3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209440,2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230384,2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253422,6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фактического исполнения к утвержденному плану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002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08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Оказание немедицинских и иных услуг организациями здравоохранения, работающими в системе Единого плательщика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311582,4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293990,1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323389,1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355728,0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фактического исполнения к утвержденному плану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002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09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Улучшение качества предоставления медицинской помощи населению путем стимулирования групп семейных врачей за достижение целевых показателей качества деятельности (мероприятия Программы, ориентированной на результат)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197244,6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389350,0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543440,0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380000,0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организаций здравоохранения первичной медико-санитарной помощи, которым были произведены выплаты по результатам оценки качества с использованием оценочной карты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002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материального стимулирования работников системы здравоохранения путем повышения оплаты труда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3127353,7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3764589,7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3764589,7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3764589,7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освоения средств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002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доступности специализированной психиатрической помощи, оказываемой организациями первичной медико-санитарной помощи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5316,0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8064,0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8064,0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8064,0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управляемых случаев психических расстройств на амбулаторном уровне в пилотных организациях здравоохранения первичной медико-санитарной помощи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1324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714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714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714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 по Программе 2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8845206,0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10547994,1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10975977,4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11091959,5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3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6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Программа 3. Предоставление услуг организациями здравоохранения на стационарном уровне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Цель программы: повышение качества и эффективности предоставления гарантированной медицинской помощи на стационарном уровне в рамках Программы государственных гарантий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Уровень госпитализаций на 100 тыс. населения</w:t>
            </w:r>
          </w:p>
        </w:tc>
        <w:tc>
          <w:tcPr>
            <w:tcW w:type="dxa" w:w="7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13,4%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13,4%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13,2%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13,2%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Уровень удовлетворенности (по оценочной карте)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83,0%</w:t>
            </w:r>
          </w:p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3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</w:t>
            </w:r>
          </w:p>
        </w:tc>
        <w:tc>
          <w:tcPr>
            <w:tcW w:type="dxa" w:w="21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доступности медицинских услуг населению республики на уровне стационарной помощи в рамках Программы государственных гарантий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7267269,1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7970919,0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7306835,2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7530523,1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населения, получившего лечение по социальным льготам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детей, получивших лечение в отделениях краткосрочного пребывания, к общему количеству пролеченных детей в общепрофильных стационарах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населения, получивших льготное лечение по медицинским показаниям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доступности медицинской помощи по борьбе с туберкулезом, оказываемой организациями здравоохранения стационарного уровня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643834,7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699084,6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699084,6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699084,6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03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доступности медицинских услуг на уровне специализированной онкологической и гематологической помощи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273921,1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289238,0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289238,0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289238,0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04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доступности медицинских услуг на уровне специализированной кардиохирургической помощи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51061,6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35000,0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05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доступности медицинских услуг на уровне специализированной психиатрической помощи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284751,1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303329,4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303329,4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303329,4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06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Оказание населению платных медицинских услуг сверх объема Программы государственных гарантий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456250,8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373525,0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410877,5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451965,3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фактического исполнения к утвержденному плану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07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Оказание немедицинских и иных услуг организациями здравоохранения, работающими в системе Единого плательщика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465926,7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360087,5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396096,3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435705,9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организаций здравоохранения стационарного уровня, в которых проведена оценка качества с использованием оценочной карты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абс. ч.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183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183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183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183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08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материального стимулирования работников системы здравоохранения путем повышения оплаты труда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4517788,2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5235410,3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5235410,3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5235410,3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Исполнения бюджета по целевым средствам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09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Мероприятия по проекту "Караван здоровья"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22400,0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освоения средств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Мероприятия по проекту Азиатского банка развития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освоения средств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Мероприятия по проекту Всемирного банка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освоения средств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 по Программе 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14098803,3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15330993,8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14675871,2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14980256,5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004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Программа 4. Обеспечение доступности медицинских и иных услуг, оказываемых населению сверх объема Программы государственных гарантий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Цели программы: повышение уровня удовлетворенности граждан посредством предоставления расширенного спектра услуг организациями здравоохранения независимо от формы собственности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Соотношение пациентов с терминальной стадией хронической почечной недостаточности, охваченных льготным гемодиализным лечением, к общему числу пациентов, состоящих на учете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004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доступа к льготному гемодиализному лечению остронуждающихся пациентов с терминальной стадией хронической почечной недостаточности пятой стадии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1421280,0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2230800,0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2230800,0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2230800,0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пациентов с терминальной стадией хронической почечной недостаточности, получающих платное лечение в частных медицинских центрах и ожидающих перевода на полный бюджетный гемодиализ в государственных организациях здравоохранения, а также в целях сокращения бремени затрат пациентами при получении услуг гемодиализа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2274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2624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2624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2624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004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финансовой устойчивости и надлежащего функционирования организаций здравоохранения (формирование страхового запаса)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295129,8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325842,9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344637,2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364680,4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обеспечения финансовой стабильности в объеме не менее месячного финансирования от общего объема средств, направляемых на финансирование медицинских и профилактических услуг, предоставляемых организациями здравоохранения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1,3%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004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03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Поддержка, развитие и материально-техническое оснащение организаций здравоохранения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70000,0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Доля, направляемая на поддержку и развитие здравоохранения для организаций здравоохранения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004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 по Программе 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1766409,8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2606642,9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2635437,2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2665480,4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24951939,5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28770780,8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28572435,9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29022846,5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ПР - код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ME - код меры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
 к Закону Кыргызской Республики "О бюджете Фонда обязательного медицинского страхования при Министерстве здравоохранения Кыргызской Республики на 2022 год и прогнозе на 2023-2024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БАЗОВЫЕ НОРМАТИВЫ,
 используемые для расчетов по оплате за оказанные медицинские и иные услуги организациями здравоохранения системы Единого плательщика на 2022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8657"/>
        <w:gridCol w:w="1217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8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показателей</w:t>
            </w:r>
          </w:p>
        </w:tc>
        <w:tc>
          <w:tcPr>
            <w:tcW w:type="dxa" w:w="1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2022 год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Базовая ставка оплаты медицинских услуг для стационаров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5022,0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Поправочный коэффициент к базовой ставке для застрахованных граждан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1,5974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Поправочный коэффициент к базовой ставке для отделений краткосрочного пребывания для беременных женщин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0,3000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Базовая ставка оплаты медицинских услуг для противотуберкулезных организаций здравоохранения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46951,47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Поправочный коэффициент к базовой ставке для застрахованных граждан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1,0639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Подушевой норматив финансирования функции координации для Национального центра фтизиатрии при Министерстве здравоохранения Кыргызской Республики и областных центров борьбы с туберкулезом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1,60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Базовая ставка оплаты медицинских услуг в специализированных организациях здравоохранения: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онкологической службы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7318,97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гематологической службы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19584,05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кардиохирургической службы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100000,00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психиатрической службы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24086,32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Подушевой норматив финансирования групп семейных врачей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163,65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Поправочный коэффициент к подушевому нормативу финансирования групп семейных врачей для застрахованных граждан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2,6559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Подушевой норматив финансирования центров семейной медицины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156,36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Подушевой норматив финансирования стоматологических поликлиник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133,02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Норматив финансирования на 1 линейную бригаду скорой медицинской помощи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571962,4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Подушевой норматив на льготное лекарственное обеспечение застрахованных граждан по обязательному медицинскому страхованию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90,00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Подушевой норматив финансирования за застрахованных граждан по Базовой программе обязательного медицинского страхования для Государственного учреждения "Клиническая больница" при Управлении делами Президента Кыргызской Республики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271,00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Базовая ставка оплаты медицинских услуг стационаров, работающих по Базовой программе обязательного медицинского страхования для застрахованных граждан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3000,00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Подушевой норматив Бишкекского городского центра борьбы с туберкулезом на приписанное население города Бишкек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23,27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Норматив оплаты возмещения 1 сеанса гемодиализа для организаций здравоохранения независимо от форм собственности, оказывающих услуги гемодиализа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4700,0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оплаты за успешное завершение лечения на амбулаторном уровне: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чувствительного туберкулеза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12000,00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устойчивого туберкулеза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24000,00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Норматив финансирования транспортировки биоматериалов для Национального центра фтизиатрии при Министерстве здравоохранения Кыргызской Республики и областных центров борьбы с туберкулезом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500000,0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оплаты за управление случаями психических расстройств на амбулаторном уровне: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 сроком наблюдения 6 месяцев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6000,0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 сроком наблюдения 12 месяцев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12000,0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fyuqtdqajeamjflql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dalil.kg/document/112364</w:t>
      </w:r>
    </w:hyperlink>
  </w:p>
  <w:p>
    <w:pPr>
      <w:spacing w:after="0" w:before="40"/>
      <w:jc w:val="center"/>
    </w:pPr>
    <w:hyperlink w:history="1" r:id="rIdl-p6lzkliml2hbwk2ww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exh9fsv2ibgryva0lea" Type="http://schemas.openxmlformats.org/officeDocument/2006/relationships/hyperlink" Target="https://dalil.kg/document/112468" TargetMode="External"/><Relationship Id="rIdfoxntshtd3da-ownikeq2" Type="http://schemas.openxmlformats.org/officeDocument/2006/relationships/hyperlink" Target="https://dalil.kg/document/112364#pr1" TargetMode="External"/><Relationship Id="rId_ugfdxjdxre3ragd3txaa" Type="http://schemas.openxmlformats.org/officeDocument/2006/relationships/hyperlink" Target="https://dalil.kg/document/112468" TargetMode="External"/><Relationship Id="rId_moaz8pa-teipaafwkjkw" Type="http://schemas.openxmlformats.org/officeDocument/2006/relationships/hyperlink" Target="https://dalil.kg/document/112364#pr2" TargetMode="External"/><Relationship Id="rId3q0jchbcdo_fats3jkskr" Type="http://schemas.openxmlformats.org/officeDocument/2006/relationships/hyperlink" Target="https://dalil.kg/document/112364#pr3" TargetMode="External"/><Relationship Id="rIdoxdy2bpof0evhbcrmwzlb" Type="http://schemas.openxmlformats.org/officeDocument/2006/relationships/hyperlink" Target="https://dalil.kg/document/112364#pr4" TargetMode="External"/><Relationship Id="rIdbnsla2dcx-6t5vcjrj2yu" Type="http://schemas.openxmlformats.org/officeDocument/2006/relationships/hyperlink" Target="https://dalil.kg/document/112364#pr5" TargetMode="External"/><Relationship Id="rIdhodzfo_orpfjpllnxizlk" Type="http://schemas.openxmlformats.org/officeDocument/2006/relationships/hyperlink" Target="https://dalil.kg/document/112364#pr6" TargetMode="External"/><Relationship Id="rIdkri4n7iqrlxshvqbecakq" Type="http://schemas.openxmlformats.org/officeDocument/2006/relationships/hyperlink" Target="https://dalil.kg/document/112468" TargetMode="External"/><Relationship Id="rIdcy3y3xkiagbhu7n3ebpow" Type="http://schemas.openxmlformats.org/officeDocument/2006/relationships/hyperlink" Target="https://dalil.kg/document/112468" TargetMode="External"/><Relationship Id="rIdt5ucsuul8ltijod7nii6e" Type="http://schemas.openxmlformats.org/officeDocument/2006/relationships/hyperlink" Target="https://dalil.kg/document/112468" TargetMode="External"/><Relationship Id="rIde3u3nmuwrtxqmbewho0hr" Type="http://schemas.openxmlformats.org/officeDocument/2006/relationships/hyperlink" Target="https://dalil.kg/document/112468" TargetMode="External"/><Relationship Id="rIdvwkioiv43a37wnz3iryuz" Type="http://schemas.openxmlformats.org/officeDocument/2006/relationships/hyperlink" Target="https://dalil.kg/document/112468" TargetMode="External"/><Relationship Id="rIdine0birivendwhpvuxaq8" Type="http://schemas.openxmlformats.org/officeDocument/2006/relationships/hyperlink" Target="https://dalil.kg/document/112468" TargetMode="External"/><Relationship Id="rIdyz3_lpwca9cicykckardf" Type="http://schemas.openxmlformats.org/officeDocument/2006/relationships/hyperlink" Target="https://dalil.kg/document/11246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fyuqtdqajeamjflqlep" Type="http://schemas.openxmlformats.org/officeDocument/2006/relationships/hyperlink" Target="https://dalil.kg/document/112364" TargetMode="External"/><Relationship Id="rIdl-p6lzkliml2hbwk2ww1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2026-09-28T20:08:10.364Z</dcterms:created>
  <dcterms:modified xsi:type="dcterms:W3CDTF">2026-09-28T20:08:10.364Z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