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игорной деятельности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aytfm7jhgohnvowazet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quoegbuuj_fp6wne1r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v7lajpbx41ukkz1ag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2024 года № 175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деятельности игорных заведений на территории Кыргызской Республики, государственного регулирования игорной деятельности, основные понятия, порядок создания и содержания игорных заведений, организации азартных игр и их лицензирования, контроль за организацией и проведением азартных игр и ответственность субъектов игорной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субъектов игорной деятельности в части предупреждения, выявления и пресечения деяний, связанных с финансированием терроризма и легализацией (отмыванием) доходов, полученных преступным путем, осуществляется в соответствии с </w:t>
      </w:r>
      <w:hyperlink w:history="1" r:id="rIdxcbaujezac6_v1wl9r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определения, используемые для целей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игорная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организацией, проведением азартных игр и предоставлением возможности доступа к ним в казино, на игровых автоматах, компьютерных симуляторах, в интерактивных заведениях, электронном (виртуальном) казино, букмекерских конторах, тотализаторах, независимо от места расположения сервера;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игорное заведение</w:t>
      </w:r>
      <w:r>
        <w:rPr>
          <w:rFonts w:ascii="Arial" w:cs="Arial" w:eastAsia="Arial" w:hAnsi="Arial"/>
          <w:sz w:val="24"/>
          <w:szCs w:val="24"/>
        </w:rPr>
        <w:t xml:space="preserve"> - помещение (здание), в котором на основании лицензии на создание и содержание игорных заведений, организацию азартных игр проводятся азартные игры и (или) принимаются ставки на пари: казино, тотализатор, букмекерская контора;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</w:t>
      </w:r>
      <w:r>
        <w:rPr>
          <w:rFonts w:ascii="Arial" w:cs="Arial" w:eastAsia="Arial" w:hAnsi="Arial"/>
          <w:sz w:val="24"/>
          <w:szCs w:val="24"/>
        </w:rPr>
        <w:t xml:space="preserve">- физическое лицо, являющееся гражданином иностранного государства, принимающее непосредственное участие в азартных играх, проводимых игорным заведением;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азартная игра</w:t>
      </w:r>
      <w:r>
        <w:rPr>
          <w:rFonts w:ascii="Arial" w:cs="Arial" w:eastAsia="Arial" w:hAnsi="Arial"/>
          <w:sz w:val="24"/>
          <w:szCs w:val="24"/>
        </w:rPr>
        <w:t xml:space="preserve"> - основанное на риске, заключенное между двумя или несколькими участниками по правилам, установленным игорным заведением, соглашение о выигрыше, исход которого зависит от обстоятельства, на наступление которого стороны имеют возможность влиять своими действиями;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пари </w:t>
      </w:r>
      <w:r>
        <w:rPr>
          <w:rFonts w:ascii="Arial" w:cs="Arial" w:eastAsia="Arial" w:hAnsi="Arial"/>
          <w:sz w:val="24"/>
          <w:szCs w:val="24"/>
        </w:rPr>
        <w:t xml:space="preserve">- основанное на риске, заключенное между двумя или несколькими участниками соглашение о выигрыше, исход которого зависит от обстоятельства, относительно которого неизвестно, наступит оно или нет;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казино</w:t>
      </w:r>
      <w:r>
        <w:rPr>
          <w:rFonts w:ascii="Arial" w:cs="Arial" w:eastAsia="Arial" w:hAnsi="Arial"/>
          <w:sz w:val="24"/>
          <w:szCs w:val="24"/>
        </w:rPr>
        <w:t xml:space="preserve"> - игорное заведение, в котором с использованием игрового оборудования проводятся азартные игры с объявленным денежным выигрышем;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игровое оборудование</w:t>
      </w:r>
      <w:r>
        <w:rPr>
          <w:rFonts w:ascii="Arial" w:cs="Arial" w:eastAsia="Arial" w:hAnsi="Arial"/>
          <w:sz w:val="24"/>
          <w:szCs w:val="24"/>
        </w:rPr>
        <w:t xml:space="preserve"> - рулетка, карточные столы, стол для игры в кости, игровые автоматы, в том числе оборудование тотализатора и букмекерской конторы;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игровой стол</w:t>
      </w:r>
      <w:r>
        <w:rPr>
          <w:rFonts w:ascii="Arial" w:cs="Arial" w:eastAsia="Arial" w:hAnsi="Arial"/>
          <w:sz w:val="24"/>
          <w:szCs w:val="24"/>
        </w:rPr>
        <w:t xml:space="preserve"> - специально оборудованное место в игорном заведении, предназначенное для проведения азартных игр с любым видом выигрыша, в которых игорное заведение участвует через своих представителей как сторона или как организатор и (или) наблюдатель (рулетка, карточные столы, стол для игры в кости);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игровой автомат</w:t>
      </w:r>
      <w:r>
        <w:rPr>
          <w:rFonts w:ascii="Arial" w:cs="Arial" w:eastAsia="Arial" w:hAnsi="Arial"/>
          <w:sz w:val="24"/>
          <w:szCs w:val="24"/>
        </w:rPr>
        <w:t xml:space="preserve"> - специальное оборудование (механическое, электрическое, электронное и иное техническое оборудование, в том числе электронная рулетка), установленное и используемое для проведения азартных игр с денежным выигрышем без участия в указанных играх представителей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каждое посадочное (игровое) место электронной рулетки и игрового автомата принимается как один игровой автомат;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зал игровых автоматов</w:t>
      </w:r>
      <w:r>
        <w:rPr>
          <w:rFonts w:ascii="Arial" w:cs="Arial" w:eastAsia="Arial" w:hAnsi="Arial"/>
          <w:sz w:val="24"/>
          <w:szCs w:val="24"/>
        </w:rPr>
        <w:t xml:space="preserve"> - игровая зона, расположенная в казино, в которой проводятся азартные игры с использованием игровых автоматов;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игровая зона</w:t>
      </w:r>
      <w:r>
        <w:rPr>
          <w:rFonts w:ascii="Arial" w:cs="Arial" w:eastAsia="Arial" w:hAnsi="Arial"/>
          <w:sz w:val="24"/>
          <w:szCs w:val="24"/>
        </w:rPr>
        <w:t xml:space="preserve"> - часть помещения игорного заведения, предназначенная для установки игрового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тотализатор</w:t>
      </w:r>
      <w:r>
        <w:rPr>
          <w:rFonts w:ascii="Arial" w:cs="Arial" w:eastAsia="Arial" w:hAnsi="Arial"/>
          <w:sz w:val="24"/>
          <w:szCs w:val="24"/>
        </w:rPr>
        <w:t xml:space="preserve"> - игровая зона или помещение, расположенные в казино, в которых заключаются взаимные пари между всеми участниками на исход события, результат которого заранее не определен, характеризующееся определенным местом приема ставок у участников, выплатой им выигрыша и использованием соответствующих технических средств и процедур (в том числе "Бинго-лото" и "Русское лото");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букмекерская контора</w:t>
      </w:r>
      <w:r>
        <w:rPr>
          <w:rFonts w:ascii="Arial" w:cs="Arial" w:eastAsia="Arial" w:hAnsi="Arial"/>
          <w:sz w:val="24"/>
          <w:szCs w:val="24"/>
        </w:rPr>
        <w:t xml:space="preserve"> - игровая зона или помещение, расположенные в казино, в которых заключаются пари между всеми участниками и игорным заведением на исход события, результат которого заранее не известен;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касса игорного заведения -</w:t>
      </w:r>
      <w:r>
        <w:rPr>
          <w:rFonts w:ascii="Arial" w:cs="Arial" w:eastAsia="Arial" w:hAnsi="Arial"/>
          <w:sz w:val="24"/>
          <w:szCs w:val="24"/>
        </w:rPr>
        <w:t xml:space="preserve"> специально оборудованное организатором игорного заведения место, где оказываются услуги по размену (обмену) наличных денег;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выигрыш </w:t>
      </w:r>
      <w:r>
        <w:rPr>
          <w:rFonts w:ascii="Arial" w:cs="Arial" w:eastAsia="Arial" w:hAnsi="Arial"/>
          <w:sz w:val="24"/>
          <w:szCs w:val="24"/>
        </w:rPr>
        <w:t xml:space="preserve">- экономическая выгода в виде денег, самостоятельно определяемая организатором азартных игр как положительная разница между суммами денежных средств, уплаченных и полученных в азартной игре или пари;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онлайн-казино</w:t>
      </w:r>
      <w:r>
        <w:rPr>
          <w:rFonts w:ascii="Arial" w:cs="Arial" w:eastAsia="Arial" w:hAnsi="Arial"/>
          <w:sz w:val="24"/>
          <w:szCs w:val="24"/>
        </w:rPr>
        <w:t xml:space="preserve"> - это организация и проведение азартных игр в режиме реального времени как в однопользовательском, так и в многопользовательском режиме посредством использования в игорном заведении или иных помещениях аппаратно-программных комплексов, приспособленных для проведения азартных игр, либо средств связи через Интернет (независимо от помещения использования), предусматривающих получение выигрышей;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организатор азартных игр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деятельность по организации и проведению азартных игр;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компьютерные симуляторы</w:t>
      </w:r>
      <w:r>
        <w:rPr>
          <w:rFonts w:ascii="Arial" w:cs="Arial" w:eastAsia="Arial" w:hAnsi="Arial"/>
          <w:sz w:val="24"/>
          <w:szCs w:val="24"/>
        </w:rPr>
        <w:t xml:space="preserve"> - программные и аппаратные средства, создающие впечатление действительности, отображая часть реальных явлений и свойств в виртуальной среде;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аппаратно-программный комплекс</w:t>
      </w:r>
      <w:r>
        <w:rPr>
          <w:rFonts w:ascii="Arial" w:cs="Arial" w:eastAsia="Arial" w:hAnsi="Arial"/>
          <w:sz w:val="24"/>
          <w:szCs w:val="24"/>
        </w:rPr>
        <w:t xml:space="preserve"> - технические и программные средства, позволяющие автоматизировать выполнение комплекса задач и обеспечивающие функционирование электронных информационных ресурсов и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(виртуальное) казино</w:t>
      </w:r>
      <w:r>
        <w:rPr>
          <w:rFonts w:ascii="Arial" w:cs="Arial" w:eastAsia="Arial" w:hAnsi="Arial"/>
          <w:sz w:val="24"/>
          <w:szCs w:val="24"/>
        </w:rPr>
        <w:t xml:space="preserve"> - сайт или программа, предоставляющие доступ к азартным играм в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bqtubrpriamjzmv5t2l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6vrgbtzomkzylargzj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Субъекты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Субъекты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игорной деятельности являются юридические лица, в том числе иностранные, прошедшие регистрацию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игорной деятельности обязаны в фирменных наименованиях и иных документах, предназначенных для ознакомления широкого круга лиц, при проведении рекламных кампаний указывать конкретный вид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не несет ответственности по обязательствам субъектов игорной деятельности. Субъекты игорной деятельности не несут ответственности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Союзы и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лица, осуществляющие игорную деятельность, вправе на добровольной основе создавать союзы или ассоциации в целях координации своей деятельности, защиты и представления общих интересов, осуществления совместных проектов и решения иных общих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Союзы или ассоциации создаются в соответствии с требованиями законодательства Кыргызской Республики, регулирующего вопросы создания некоммерческих организаций (союзов и ассоциаций).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союзов и ассоциаций осуществляется в соответствии с требованиями законодательства, регулирующего вопросы деятельности некоммерческих организаций (союзов и ассоциаций), и положениями их учредительных документов. Получение лицензии таким организациям не требуется.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Союзы или ассоциации не вправе осуществлять игорную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Лица, имеющие право осуществлять игорную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Игорную деятельность на территории Кыргызской Республики вправе осуществлять резиденты Кыргызской Республики в тех организационно-правовых формах, которые установлены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Организационно-правовая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Игорной деятельностью вправе заниматься только юридические лица в организационно-правовой форме общества с ограниченной ответственностью или закрытого акционерного общества. Свою деятельность общество обязано осуществлять в соответствии с действующим законодательством Кыргызской Республики в области хозяйственных товариществ и обществ, акционерных обществ, игорной деятельности на основании лицензии, выдаваемой в установленном порядке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Юридические лица, осуществляющие игорную деятельность, вправе организовать в установленном порядке хозяйственную деятельность, связанную с общественным питанием (рестораны, кафе, бары), туристическим и гостиничным бизнесом.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Юридические лица, не отвечающие требованиям, предусмотренным частью 1 настоящей статьи, не вправе заниматься игорной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Обязательный резервный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Игорные заведения должны сформировать обязательный резервный фонд, который служит для обеспечения покрытия потенциальных потерь, свойственных игорной деятельности, и защиты от возможных рисков, которые могут возникнуть при осуществлении игорной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Минимальный размер обязательного резервного фонда должен быть эквивалентен сумме: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казино в столице Кыргызской Республики равной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0 000 расчетных показателей, для казино в областных административно-территориальных единицах –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0 000 расчетных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ljwoaiydgct7uxolkgsm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апреля 2023 года № 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букмекерских контор и тотализаторов в столице Кыргызской Республики равной 20000 расчетных показателей, для букмекерских контор и тотализаторов в областных административно-территориальных единицах - 10000 тысячам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Обязательный резервный фонд формируется только в денежной форме и только за счет средств учредителей игорного заведения. При формировании обязательного резервного фонда не допускается использование заемных и основных средств, а также нематериальных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Минимальный обязательный резервный фонд должен быть сформирован до момента подачи заявления на получение лицензии на создание и содержание игорных заведений, организацию азартных игр. Средства обязательного резервного фонда хранятся в кассе игорного заведения и подлежат обязательному заявлению этих средств в уполномоченный государственный орган с представлением подтверждающих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Игорные заведения имеют право сформировать у себя резервный фонд сверх размера обязательного резервного фонда, установленного частью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ixqx4qb-pyk0gpgiqb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апреля 2023 года № 78)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Государственное регулирование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Государственное регулирование игорной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Игорная деятельность в Кыргызской Республике подлежит государственному регулированию.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регулирование игорной деятельности включает в себя проведение государственной политики в области игорной деятельности, разработку соответствующих нормативных правовых актов, лицензирование, контроль и надзор за игорными заведениями, защиту прав и интересов участников игр, субъектов игорной деятельности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регулирование игорной деятельности осуществляется уполномоченным государственным органом в порядке, определяемом Кабинетом Министров Кыргызской Республики (далее - Кабинет Министров).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Порядок, условия ведения учета и формы отчетности по игорной деятельности утверждаются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вносит на рассмотрение Кабинета Министров проекты нормативных правовых актов в сфере игорной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экспертизу документов и выдачу лицензий на создание и содержание игорных заведений, организацию азартных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контроль и надзор за соблюдением субъектами игорной деятельности требований действующего законодательства Кыргызской Республики в сфере игорной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интересы Кыргызской Республики при осуществлении внешних связей по вопросам развития игорной деятельности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случаях и порядке, предусмотренных настоящим Законом, приостанавливает, возобновляет, отзывает и аннулирует действие выданных лицензий;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минимальные требования к правилам игры для всех субъектов игорного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Порядок выдачи лицензии на создание и содержание игорных заведений, организацию азартных игр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Кыргызской Республике игорная деятельность является лицензируемым видом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 на создание и содержание игорных заведений, организацию азартных игр выдается уполномоченным государственным органом (далее - лицензиар).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достоверность сведений и документов, предоставленных для получения лицензии, лицензиат несет ответственность в соответствии с законодательством Кыргызской Республики в сфере игорной деятельности, лицензионно-разрешительной системы, уголовным законодательством и законодательством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Выдача лицензий осуществляется на платной основе. Размер платы за выдачу лицензии определяется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Выдача лицензий на создание и содержание игорных заведений, организацию азартных игр, а также лицензионный контроль производятся в порядке, определяемом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Лицензия выдается на определенное месторасположение игорного заведения, указанное в заявлении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Лицензия на создание и содержание игорных заведений, организацию азартных игр не подлежит отчуждению. Ее действие не распространяется на других лиц, осуществляющих деятельность совместно с лицензиатом, в том числе по договору о сотрудничестве, а также на юридических лиц, одним из учредителей которых является лицензиат.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Лицензия на создание и содержание игорных заведений, организацию азартных игр выдается сроком на десять лет с момента ее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Право на осуществление деятельности по содержанию игорного заведения возникает с момента получения лицензии и прекращается с момента приостановления, отзыва, аннулирования или окончания срока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временного приостановления деятельности игорное заведение должно письменно уведомить об этом уполномоченный государственный орган и налоговые органы по месту регистрации с указанием соответствующих причин в течение пяти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Юридические лица могут быть учредителями нескольких игорных заведений при условии, что на каждое такое заведение в установленном порядке приобретена лицензия.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Осуществление игорной деятельности без получения соответствующей лицензии влечет ответственность, установленную законодательством Кыргызской Республики в сфере игорной деятельности, лицензионно-разрешительной системы, уголовным законодательством и законодательством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Переоформление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преобразования юридического лица, изменения наименования юридического лица, юридического адреса, наименования игорного заведения, месторасположения игорного заведения, количества игрового оборудования лицензиат обязан в течение пяти рабочих дней представить лицензиару необходимые документы для переоформления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утери или приведения в негодность бланка лицензии лицензиат обязан в трехдневный срок сообщить об этом лицензиару и подать заявление на получение дубликата лицензии в течение десяти дней. В заявлении должны быть указаны все реквизиты бланка, утраченного/пришедшего в негодность, и причины утраты/приведения в негодность. Дубликат лицензии выдается на основании представленных документов и должен иметь отметку "Дубликат".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Переоформление лицензии в случаях, указанных в части 1 настоящей статьи, осуществляется в пятидневный срок со дня подачи лицензиатом соответствующего заявления и возврата прежней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Плата за переоформление лицензии и выдачу дубликата взимается в размере 10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Порядок приостановления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соблюдением лицензиатом требований, установленных настоящим Законом и иными законодательными актами Кыргызской Республики в области лицензионно-разрешительной системы, регулирования, контроля и надзора за субъектами предпринимательской деятельности, осуществляется лицензиаром путем проведения проверок, рассмотрения заявлений и жалоб по деятельности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Регулярность и сроки проведения проверок определяются лицензиаром в соответствии с порядком, установленным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зависимости от характера выявленных нарушений лицензиар имеет право вынести предписание об устранении нарушений, наложить штраф, приостановить действие лицензии либо отозвать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Приостановление действия лицензии означает запрет на осуществление игорной деятельности до устранения лицензиатом допущенных нарушений и производится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допущения нарушений и (или) неисполнения лицензионных требований, установленных Кабинетом Министров, 3 и более раз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неустранения лицензиатом в установленные сроки нарушений лицензионных требований, установленных Кабинетом Министров, указанных в письменном предписании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представления лицензиатом документов с недостоверными сведениями;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иных случаях, установленных Кабинетом Министров.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Лицензиар вправе приостановить действие лицензии на срок до трех месяцев. Лицензиар в течение трех рабочих дней с момента принятия решения информирует об этом лицензиата в письменной форме с указанием срока, на который приостановлено действие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Возобновление действия лицензии осуществляется лицензиаром при документальном подтверждении лицензиатом устранения в срок причин, повлекших приостановление действия лицензии.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Порядок отзыва и прекращения действия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Лицензия отзывается в случае нарушения лицензиатом требований, установленных частью 2 </w:t>
      </w:r>
      <w:hyperlink w:history="1" r:id="rIdfxlcotwukctzp0aft38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 может быть отозвана лицензиаром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нарушение требований, установленных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неустранение в установленный срок нарушений, в том числе связанных с неуплатой либо несвоевременной уплатой соответствующих налогов, по которым лицензиар приостановил действие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неисполнение лицензиатом требований, установленных настоящим Законом и </w:t>
      </w:r>
      <w:hyperlink w:history="1" r:id="rIdh5fkgzhe_l5thvxedx8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запрещение судом лицензиату заниматься тем видом деятельности, на осуществление которой ему выдана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игорная деятельность не осуществляется более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Основаниями для прекращения действия лицензии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прекращение деятельности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истечение срока действия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отзыв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Отзыв лицензии и прекращение действия лицензии означают запрет на осуществление игорной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 решении прекратить действие лицензии лицензиар в течение трех рабочих дней в письменной форме информирует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Отказ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об отказе в выдаче лицензии принимается,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этого вида деятельности запрещено для категории субъектов, установленных законодательством Кыргызской Республики в сфере игорной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 юридического лица (заявителя) ранее была отозвана лицензия;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учредителем, участником или акционером юридического лица (заявителя) является лицо, которое являлось учредителем, участником или акционером юридического лица, у которого ранее была отозвана лицензия, и его аффилированные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учредителем, участником или акционером юридического лица (заявителя) являются физические и (или) юридические лица, в отношении которых имеются принятые Советом безопасности ООН международные санкции, запрещающие правоотношения с указанными лицами, обязательные для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внесена оплата за рассмотрение заявления и выдачу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представлен необходимый перечень документов для выдачи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лицензиат не отвечает требованиям, установленным законодательством Кыргызской Республики, для осуществления данного вида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отношении лицензиата имеется решение суда, запрещающее ему заниматься данным видом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лицензиат не соблюдает требования законодательства Кыргызской Республики в сфере противодействия финансированию террористической деятельности и легализации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Запрещается отказ в выдаче лицензии по мотивам: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нецелесообразности предоставления заявителю права осуществления игорной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обеспечения монопольного положения в данной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Отказ в выдаче лицензии может быть обжалован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Специальные требования к игорному заведению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Ограничения, устанавливаемые к игорному заведению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Игорное заведение не может быть размещено в помещениях детских садов, школ, вузов, других учебных заведений, медицинских и культовых учреждений, учреждений культуры, а также в жилых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Казино должно быть расположено в гостиничном комплексе</w:t>
      </w:r>
      <w:r>
        <w:rPr>
          <w:rFonts w:ascii="Arial" w:cs="Arial" w:eastAsia="Arial" w:hAnsi="Arial"/>
          <w:sz w:val="24"/>
          <w:szCs w:val="24"/>
        </w:rPr>
        <w:t xml:space="preserve"> с рестораном</w:t>
      </w:r>
      <w:r>
        <w:rPr>
          <w:rFonts w:ascii="Arial" w:cs="Arial" w:eastAsia="Arial" w:hAnsi="Arial"/>
          <w:sz w:val="24"/>
          <w:szCs w:val="24"/>
        </w:rPr>
        <w:t xml:space="preserve">. При этом ресторан должен иметь не менее ста посадочных мест, а гостиница - не менее двадцати оборудованных надлежащим образом номеров.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(Утратила силу в соответствии с </w:t>
      </w:r>
      <w:hyperlink w:history="1" r:id="rIdt17edjuuvaibuy3zjxp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ноября 2024 года № 175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Зал игровых автоматов должен находиться в игровой зоне, расположенной в</w:t>
      </w:r>
      <w:r>
        <w:rPr>
          <w:rFonts w:ascii="Arial" w:cs="Arial" w:eastAsia="Arial" w:hAnsi="Arial"/>
          <w:sz w:val="24"/>
          <w:szCs w:val="24"/>
        </w:rPr>
        <w:t xml:space="preserve">казино</w:t>
      </w:r>
      <w:r>
        <w:rPr>
          <w:rFonts w:ascii="Arial" w:cs="Arial" w:eastAsia="Arial" w:hAnsi="Arial"/>
          <w:sz w:val="24"/>
          <w:szCs w:val="24"/>
        </w:rPr>
        <w:t xml:space="preserve">, в котором площадь игровой зоны должна составлять не менее 200 квадратных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Игорное заведение должно иметь соответствующую осуществляемому виду деятельности эстетически оформленную вывеску с указанием его фирменного наименования.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Игорное заведение должно иметь собственную и (или) иную специализированную службу безопасности для обеспечения охраны общественного порядка в игорном заведении и на прилегающей к нему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казино необходимо наличие обменного бюро (пункта), имеющего соответствующую лицензию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Казино, включая игровую зону зала игровых автоматов и игровую зону или помещение букмекерской конторы и тотализатора, должно быть оснащено специальным оборудованием: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пожарной сигнализацией;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охранной сигнализацией;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тревожной (кнопка) сигнализацией;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металлодетектором (при входе);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системами видеонаблюдения и фотофиксации, позволяющими дистанционную фиксацию лиц, находящихся в игорных залах.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тотализаторов сумма, выплачиваемая участникам в виде выигрыша по результатам заключения взаимных пари, не может быть менее 50 процентов от общей суммы принятых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Процент выигрыша, технологически заложенный в игровой автомат, должен быть не ниже 75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требованию участника представитель игорного заведения обязан выдать ему документ, подтверждающий получение выигрыша - денежной суммы из кассы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игорных заведениях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игра в кредит (займ), за исключением игры "в кредит" на игровых автоматах;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игра под заклад или залог;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публично проводить розыгрыши лотереи и рекламные 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территории Кыргызской Республики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не предусмотренных </w:t>
      </w:r>
      <w:hyperlink w:history="1" r:id="rIdrwvsaqdbap2maabcyes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 видов деятельности в сфере игорной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азартных игр, предусматривающих выплаты в виде иного имущества, кроме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Выплата выигрышей участникам азартных игр и (или) пари производится субъектом игорной деятельности в размере и сроки, предусмотренные правилами проводимых азартных игр и (или) пари, но не позднее пяти календарных дней с момента подведения результатов данной азартной игры и (или) пари.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a2uz-rollvhyb_mevqn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hexlz_lrhzpf9b65-d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9i17strf6bku0movc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2024 года № 175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Ограничения, устанавливаемые к игровому оборудованию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игровых столов в казино, расположенных в столице Кыргызской Республики, должно быть не менее десяти. Для казино, расположенных в областных административно-территориальных единицах, количество игровых столов должно быть не менее пяти.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Игровое оборудование, установленное в казино, должно находиться в собственности лицензиата.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игровой зоне зала игровых автоматов в обязательном порядке должно быть установлено не менее шестидесяти игровых автоматов.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игровой зоне зала игровых автоматов не должны находиться неработающие, выведенные из строя игровые автоматы.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Игровые автоматы, установленные в игровой зоне зала игровых автоматов, могут находиться у лицензиата в собственности или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изменения в игорном заведении общего количества игрового оборудования субъекты игорного бизнеса обязаны в течение пяти рабочих дней уведомить об этом в письменном виде соответствующий орган налоговой службы и лицензиара, а также представить последнему необходимые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Непредоставление своевременного уведомления об изменении количества игрового оборудования является основанием для отзыва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Игровое оборудование, специализированные программные продукты могут быть допущены к реализации и использованию лишь при условии прохождения процедуры сертификации и наличия (получения) документа, свидетельствующего о соответствии установленным стандартам. Игровое оборудование, специализированные программные продукты, прошедшие процедуру сертификации за пределами Кыргызской Республики, должны быть подтверждены уполномоченным государственным органом Кыргызской Республики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запрещено использование игрового оборудования, специализированного программного продукта, не прошедшего процедуру сертификации и не подтвержденного уполномоченным государственным органом Кыргызской Республики по стандартизации.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6evalygvrclsk0ct3yz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keqdoekv8d3tlcl7qp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2024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Ограничения, устанавливаемые для сотрудников и клиентов игорных заведений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Штат игорных заведений должен быть укомплектован сотрудниками не моложе 21 года, обладающими полной дееспособностью.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Клиентами игорных заведений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иностранные граждане, не достигшие 21-летнего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недееспособные иностранные граждане.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Клиентам игорных заведений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посещать игорные заведения в состоянии сильного алкогольного опьянения;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кино-, фото-, видеосъемку без разрешения игорного заведения;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входить в служебную зону игорного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Правилами игорных заведений могут быть установлены иные запреты, касающиеся норм общественного поведения и морали, а также ограничения, не противоречащие нормативным правовым актам Кыргызской Республики, которые обязательны для клиентов и работников игорных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Сотрудники игорного заведения имеют право потребовать от любого клиента, нарушающего установленные игорным заведением правила, а также положения настоящего Закона, немедленно покинуть игорное заведение.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игорных заведений должны быть размещены на видном, доступном для клиентов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определения посетителей игорных заведений сотрудники игорных заведений обязаны потребовать при входе в игорные заведения предъявления документов, удостоверяющих личность участников азартной игры, а участники азартной игры обязаны предъявить документы, удостоверяющие личность.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Граждане Кыргызской Республики, участвующие в азартных играх игорных заведений,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Налогообложение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Игорная деятельность в Кыргызской Республике подлежит налогообложению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Вступление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umzfpdwuow97999aqh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 от 1 ноября 2011 года № 191 (Ведомости Жогорку Кенеша Кыргызской Республики, 2011 г., № 10, ст.1482);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ey_drlowre8xm722y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от 8 апреля 2015 года № 74 (Ведомости Жогорку Кенеша Кыргызской Республики, 2015 г., № 4, ст.329).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bvlvrl8bmrfmfcgqn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dalil.kg/document/112383</w:t>
      </w:r>
    </w:hyperlink>
  </w:p>
  <w:p>
    <w:pPr>
      <w:spacing w:after="0" w:before="40"/>
      <w:jc w:val="center"/>
    </w:pPr>
    <w:hyperlink w:history="1" r:id="rIdubge4hpzg-ma1ahtoz8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tfm7jhgohnvowazetr0" Type="http://schemas.openxmlformats.org/officeDocument/2006/relationships/hyperlink" Target="https://dalil.kg/document/112552" TargetMode="External"/><Relationship Id="rIdqquoegbuuj_fp6wne1rew" Type="http://schemas.openxmlformats.org/officeDocument/2006/relationships/hyperlink" Target="https://dalil.kg/document/230002272" TargetMode="External"/><Relationship Id="rIdmqv7lajpbx41ukkz1agab" Type="http://schemas.openxmlformats.org/officeDocument/2006/relationships/hyperlink" Target="https://dalil.kg/document/230017097" TargetMode="External"/><Relationship Id="rIdxcbaujezac6_v1wl9rtgv" Type="http://schemas.openxmlformats.org/officeDocument/2006/relationships/hyperlink" Target="https://dalil.kg/document/111822" TargetMode="External"/><Relationship Id="rIdbqtubrpriamjzmv5t2l43" Type="http://schemas.openxmlformats.org/officeDocument/2006/relationships/hyperlink" Target="https://dalil.kg/document/112552" TargetMode="External"/><Relationship Id="rId26vrgbtzomkzylargzj93" Type="http://schemas.openxmlformats.org/officeDocument/2006/relationships/hyperlink" Target="https://dalil.kg/document/230002272" TargetMode="External"/><Relationship Id="rIdljwoaiydgct7uxolkgsm5" Type="http://schemas.openxmlformats.org/officeDocument/2006/relationships/hyperlink" Target="https://dalil.kg/document/112552" TargetMode="External"/><Relationship Id="rIdcixqx4qb-pyk0gpgiqbsp" Type="http://schemas.openxmlformats.org/officeDocument/2006/relationships/hyperlink" Target="https://dalil.kg/document/112552" TargetMode="External"/><Relationship Id="rIdfxlcotwukctzp0aft38je" Type="http://schemas.openxmlformats.org/officeDocument/2006/relationships/hyperlink" Target="https://dalil.kg/document/112383#st_15" TargetMode="External"/><Relationship Id="rIdh5fkgzhe_l5thvxedx8pe" Type="http://schemas.openxmlformats.org/officeDocument/2006/relationships/hyperlink" Target="https://dalil.kg/document/111822" TargetMode="External"/><Relationship Id="rIdt17edjuuvaibuy3zjxpom" Type="http://schemas.openxmlformats.org/officeDocument/2006/relationships/hyperlink" Target="https://dalil.kg/document/230017097" TargetMode="External"/><Relationship Id="rIdrwvsaqdbap2maabcyesx1" Type="http://schemas.openxmlformats.org/officeDocument/2006/relationships/hyperlink" Target="https://dalil.kg/document/112383#st_1" TargetMode="External"/><Relationship Id="rIda2uz-rollvhyb_mevqnmz" Type="http://schemas.openxmlformats.org/officeDocument/2006/relationships/hyperlink" Target="https://dalil.kg/document/112552" TargetMode="External"/><Relationship Id="rIdthexlz_lrhzpf9b65-dlc" Type="http://schemas.openxmlformats.org/officeDocument/2006/relationships/hyperlink" Target="https://dalil.kg/document/230002272" TargetMode="External"/><Relationship Id="rIdfi9i17strf6bku0movc28" Type="http://schemas.openxmlformats.org/officeDocument/2006/relationships/hyperlink" Target="https://dalil.kg/document/230017097" TargetMode="External"/><Relationship Id="rId6evalygvrclsk0ct3yz3w" Type="http://schemas.openxmlformats.org/officeDocument/2006/relationships/hyperlink" Target="https://dalil.kg/document/112552" TargetMode="External"/><Relationship Id="rIdgkeqdoekv8d3tlcl7qpvm" Type="http://schemas.openxmlformats.org/officeDocument/2006/relationships/hyperlink" Target="https://dalil.kg/document/230002272" TargetMode="External"/><Relationship Id="rIdqumzfpdwuow97999aqh5v" Type="http://schemas.openxmlformats.org/officeDocument/2006/relationships/hyperlink" Target="https://dalil.kg/document/203430" TargetMode="External"/><Relationship Id="rIdsey_drlowre8xm722yqlj" Type="http://schemas.openxmlformats.org/officeDocument/2006/relationships/hyperlink" Target="https://dalil.kg/document/11111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bvlvrl8bmrfmfcgqnuc" Type="http://schemas.openxmlformats.org/officeDocument/2006/relationships/hyperlink" Target="https://dalil.kg/document/112383" TargetMode="External"/><Relationship Id="rIdubge4hpzg-ma1ahtoz8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2026-09-23T18:11:27.605Z</dcterms:created>
  <dcterms:modified xsi:type="dcterms:W3CDTF">2026-09-23T18:11:27.605Z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