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по вопросам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gzxpzw6f01dfren4ag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122-123) следующее изменение:</w:t>
      </w:r>
    </w:p>
    <w:p>
      <w:pPr>
        <w:spacing w:after="120"/>
        <w:jc w:val="both"/>
      </w:pPr>
      <w:hyperlink w:history="1" r:id="rIdnuel0vhj2q5njac_l9-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xfaqyrokjj6qvezr-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4 </w:t>
      </w:r>
      <w:hyperlink w:history="1" r:id="rId8pzgzibgiarvadk19r1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"статьей 144" заменить словами "статьями 144 и 346";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tzo23op-dr7lpivaut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3b0wi_if-cfjes7zt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законодательства о лотерейной и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неисполнение лотерейной компанией требований законодательства о лотерейной деятельности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280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или неисполнение организатором игорной деятельности требований законодательства об игорной деятельности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2000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правил рекламирования игорного бизнеса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450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Представление недостоверной (ложной) информации или документов либо отказ представить информацию или документы должностным лицам государственных органов, осуществляющих контроль за игорной и лотерейной деятельностью,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должностных лиц субъектов лотерейной деятельности в размере 150 расчетных показателей, на должностных лиц субъектов игорной деятельности - 1000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Воспрепятствование деятельности должностных лиц государственных органов, осуществляющих контроль за лотерейной и игорной деятельностью, а равно неисполнение или оставление без рассмотрения должностным лицом субъекта лотерейной, игорной деятельности требований должностных лиц государственных органов, осуществляющих контроль за лотерейной, игорной деятельностью, при исполнении ими своих должностных обязанностей,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должностных лиц субъектов лотерейной деятельности в размере 150 расчетных показателей, на должностных лиц субъектов игорной деятельности - 1000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esymspcp2yircofvu1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19 января 2022 года № 4-9)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0pqgw8rn6rolhffmfo0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46 и 47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"46) игорная деятельность - деятельность, связанная с организацией, проведением азартных игр и предоставлением возможности доступа к ним в казино, на игровых автоматах, компьютерных симуляторах, в интерактивных заведениях, электронном (виртуальном) казино, букмекерских конторах, тотализаторах, независимо от места расположения сервера;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приема ставок (касса) - обособленное рабочее место сотрудника букмекерской конторы или тотализатора, оборудованное необходимой электронно-вычислительной техникой и средствами связи и предназначенное для приема ставок и выплаты выигрышей.";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dnroash-f8phwdw_wiq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налог на игорную деятельность.";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9ig_16wxaswmrzotyy_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играх" дополнить словами ", в том числе азартных,";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8 части 3 </w:t>
      </w:r>
      <w:hyperlink w:history="1" r:id="rIdnqwn2e9zxq4aozqnrz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стимулирующей лотереи/акции" заменить словами "в азартных играх, стимулирующей лотерее/акции";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Кодекс дополнить </w:t>
      </w:r>
      <w:hyperlink w:history="1" r:id="rIdg67g_ijgf_dpvcq7a4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nrgh5wc1ytb3fzyuub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62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 на игорную деятельность</w:t>
      </w:r>
    </w:p>
    <w:p>
      <w:pPr>
        <w:spacing w:after="120"/>
        <w:jc w:val="both"/>
      </w:pPr>
      <w:hyperlink w:history="1" r:id="rIdcqdr_7svu2qceqmbhr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450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режим, предусмотренный настоящей главой, применяется только в отношении деятельности субъектов, осуществляющих деятельность в соответствии с требованиями, предъявляемыми законодательством Кыргызской Республики об игорной деятельности (далее - налогоплательщик).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на игорную деятельность предусматривает обязанность уплачивать налог в отношении игорной деятельности, подлежащей обложению согласно настоящей главе, взамен: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налога на прибыль;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НДС на облагаемые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Налогоплательщик, уплачивающий налог на игорную деятельность, уплачивает налоги, не указанные в части 2 настоящей статьи,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 не освобождается от обязанностей налоговых агентов в случаях, 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занимающийся иными видами деятельности, обязан вести раздельный учет, представлять отчетность и уплачивать налоги по данным видам деятельности в порядке, установленном настоящим Кодексом. При этом расходы, произведенные в связи с осуществлением игорной деятельности, не подлежат вычету из совокупного годового дохода по другим видам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Налогоплательщик обязан подать заявление в налоговый орган как плательщик налога на игорную деятельность по месту налоговой регистрации.</w:t>
      </w:r>
    </w:p>
    <w:p>
      <w:pPr>
        <w:spacing w:after="120"/>
        <w:jc w:val="both"/>
      </w:pPr>
      <w:hyperlink w:history="1" r:id="rIdkhamqpyzdcfewuh6nt9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451</w:t>
        </w:r>
      </w:hyperlink>
      <w:r>
        <w:rPr>
          <w:rFonts w:ascii="Arial" w:cs="Arial" w:eastAsia="Arial" w:hAnsi="Arial"/>
          <w:sz w:val="24"/>
          <w:szCs w:val="24"/>
        </w:rPr>
        <w:t xml:space="preserve">. Объект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налогообложения налога на игорную деятельность является деятельность, связанная с организацией, проведением азартных игр и предоставлением возможности доступа к ним в казино, на игровых автоматах, компьютерных симуляторах, в интерактивных заведениях, электронном (виртуальном) казино, букмекерских конторах, тотализаторах, независимо от места расположения сервера.</w:t>
      </w:r>
    </w:p>
    <w:p>
      <w:pPr>
        <w:spacing w:after="120"/>
        <w:jc w:val="both"/>
      </w:pPr>
      <w:hyperlink w:history="1" r:id="rIdnee8gk9qvo9x7tmh9x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452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базой обложения налогом на игорную деятельность является 1 игровое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тотализатора и букмекерской конторы базой обложения налогом на игорную деятельность является 1 пункт приема ставок (касса).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Базой обложения налогом деятельности по организации, проведению азартных игр и предоставлению возможности доступа к ним в онлайн-казино и электронном (виртуальном) казино, независимо от места расположения сервера, является разница между выручкой налогоплательщика и выплаченным участнику выигрышем.</w:t>
      </w:r>
    </w:p>
    <w:p>
      <w:pPr>
        <w:spacing w:after="120"/>
        <w:jc w:val="both"/>
      </w:pPr>
      <w:hyperlink w:history="1" r:id="rIdxgmdtbau2cqjf4aubkr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453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уплачивает налог на игорную деятельность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1 игровой стол (1 флот) казино: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- 750000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- 1000000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- 1250000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1 игровой автомат зала игровых автоматов и компьютерных симуляторов: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- 75000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- 100000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1 пункт приема ставок (касса) букмекерской конторы и тотализатора: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- 350000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онлайн-казино и электронных (виртуальных) казино ставка налога устанавливается в размере 8 процентов.</w:t>
      </w:r>
    </w:p>
    <w:p>
      <w:pPr>
        <w:spacing w:after="120"/>
        <w:jc w:val="both"/>
      </w:pPr>
      <w:hyperlink w:history="1" r:id="rIdtwkuwlmxjvpo-lzawn7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454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периодом для налога на игорную деятельность является один календарный месяц.</w:t>
      </w:r>
    </w:p>
    <w:p>
      <w:pPr>
        <w:spacing w:after="120"/>
        <w:jc w:val="both"/>
      </w:pPr>
      <w:hyperlink w:history="1" r:id="rIdcaoa3zopga4blve__38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исчисления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налога на игорную деятельность производится в соответствии с порядком, установленным частью 1 статьи 43 настоящего Кодекса.</w:t>
      </w:r>
    </w:p>
    <w:p>
      <w:pPr>
        <w:spacing w:after="120"/>
        <w:jc w:val="both"/>
      </w:pPr>
      <w:hyperlink w:history="1" r:id="rId3n2nb1sowomo4y3sjz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456</w:t>
        </w:r>
      </w:hyperlink>
      <w:r>
        <w:rPr>
          <w:rFonts w:ascii="Arial" w:cs="Arial" w:eastAsia="Arial" w:hAnsi="Arial"/>
          <w:sz w:val="24"/>
          <w:szCs w:val="24"/>
        </w:rPr>
        <w:t xml:space="preserve">. Представление налоговой отчетности. Порядок и срок уплаты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обязан представлять: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налоговый отчет - до истечения срока уплаты налога или в день его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единую налоговую декларацию - в срок, установленный статьей 106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 обязан производить уплату налога ежемесячно до начала отчетного месяца.".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esm2ir50u6p_u02z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xfcvk5jlgal_hh9v-ui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лицензирования игорной деятельности, включая порядок выдачи, приостановления, прекращения (отзыва/аннулирования), переоформления лицензии, а также условия лицензирования, лицензионный контроль, взимание сборов и платежей регулируются законодательством Кыргызской Республики об игорной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worbogm8vv5ydwqar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игорная деятельность;".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8fuwfcrlymvj5zjcrm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5 </w:t>
      </w:r>
      <w:hyperlink w:history="1" r:id="rId0xokn7spiufviql-5ir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k7cnr0ctgz5bbuc52w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zo8vvnhacf_x3kg0ds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налог на игорную деятельность;".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djnrzz5ut_gjdon998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xpzw6f01dfren4agqak" Type="http://schemas.openxmlformats.org/officeDocument/2006/relationships/hyperlink" Target="http://kodeks.duckdns.org/document/112309" TargetMode="External"/><Relationship Id="rIdnuel0vhj2q5njac_l9-ze" Type="http://schemas.openxmlformats.org/officeDocument/2006/relationships/hyperlink" Target="http://kodeks.duckdns.org/document/112309#st_219" TargetMode="External"/><Relationship Id="rId0xfaqyrokjj6qvezr-nu2" Type="http://schemas.openxmlformats.org/officeDocument/2006/relationships/hyperlink" Target="http://kodeks.duckdns.org/document/112306" TargetMode="External"/><Relationship Id="rId8pzgzibgiarvadk19r1o0" Type="http://schemas.openxmlformats.org/officeDocument/2006/relationships/hyperlink" Target="http://kodeks.duckdns.org/document/112306#st_31" TargetMode="External"/><Relationship Id="rId6tzo23op-dr7lpivautwc" Type="http://schemas.openxmlformats.org/officeDocument/2006/relationships/hyperlink" Target="http://kodeks.duckdns.org/document/112306#st_346" TargetMode="External"/><Relationship Id="rIdr3b0wi_if-cfjes7ztmja" Type="http://schemas.openxmlformats.org/officeDocument/2006/relationships/hyperlink" Target="http://kodeks.duckdns.org/document/112306#st_346" TargetMode="External"/><Relationship Id="rIdesymspcp2yircofvu1dcw" Type="http://schemas.openxmlformats.org/officeDocument/2006/relationships/hyperlink" Target="http://kodeks.duckdns.org/document/112340" TargetMode="External"/><Relationship Id="rId0pqgw8rn6rolhffmfo0am" Type="http://schemas.openxmlformats.org/officeDocument/2006/relationships/hyperlink" Target="http://kodeks.duckdns.org/document/112340#st_4" TargetMode="External"/><Relationship Id="rIddnroash-f8phwdw_wiqja" Type="http://schemas.openxmlformats.org/officeDocument/2006/relationships/hyperlink" Target="http://kodeks.duckdns.org/document/112340#st_46" TargetMode="External"/><Relationship Id="rId9ig_16wxaswmrzotyy_lu" Type="http://schemas.openxmlformats.org/officeDocument/2006/relationships/hyperlink" Target="http://kodeks.duckdns.org/document/112340#st_184" TargetMode="External"/><Relationship Id="rIdnqwn2e9zxq4aozqnrzh5p" Type="http://schemas.openxmlformats.org/officeDocument/2006/relationships/hyperlink" Target="http://kodeks.duckdns.org/document/112340#st_191" TargetMode="External"/><Relationship Id="rIdg67g_ijgf_dpvcq7a4bfh" Type="http://schemas.openxmlformats.org/officeDocument/2006/relationships/hyperlink" Target="http://kodeks.duckdns.org/document/112340#g62" TargetMode="External"/><Relationship Id="rIdonrgh5wc1ytb3fzyuub3h" Type="http://schemas.openxmlformats.org/officeDocument/2006/relationships/hyperlink" Target="http://kodeks.duckdns.org/document/112340#g62" TargetMode="External"/><Relationship Id="rIdcqdr_7svu2qceqmbhryao" Type="http://schemas.openxmlformats.org/officeDocument/2006/relationships/hyperlink" Target="http://kodeks.duckdns.org/document/112340#st_450" TargetMode="External"/><Relationship Id="rIdkhamqpyzdcfewuh6nt9is" Type="http://schemas.openxmlformats.org/officeDocument/2006/relationships/hyperlink" Target="http://kodeks.duckdns.org/document/112340#st_451" TargetMode="External"/><Relationship Id="rIdnee8gk9qvo9x7tmh9xbx3" Type="http://schemas.openxmlformats.org/officeDocument/2006/relationships/hyperlink" Target="http://kodeks.duckdns.org/document/112340#st_452" TargetMode="External"/><Relationship Id="rIdxgmdtbau2cqjf4aubkr2q" Type="http://schemas.openxmlformats.org/officeDocument/2006/relationships/hyperlink" Target="http://kodeks.duckdns.org/document/112340#st_453" TargetMode="External"/><Relationship Id="rIdtwkuwlmxjvpo-lzawn7sg" Type="http://schemas.openxmlformats.org/officeDocument/2006/relationships/hyperlink" Target="http://kodeks.duckdns.org/document/112340#st_454" TargetMode="External"/><Relationship Id="rIdcaoa3zopga4blve__38bn" Type="http://schemas.openxmlformats.org/officeDocument/2006/relationships/hyperlink" Target="http://kodeks.duckdns.org/document/112340#st_455" TargetMode="External"/><Relationship Id="rId3n2nb1sowomo4y3sjzavz" Type="http://schemas.openxmlformats.org/officeDocument/2006/relationships/hyperlink" Target="http://kodeks.duckdns.org/document/112340#st_456" TargetMode="External"/><Relationship Id="rIdpcesm2ir50u6p_u02zcwq" Type="http://schemas.openxmlformats.org/officeDocument/2006/relationships/hyperlink" Target="http://kodeks.duckdns.org/document/205058" TargetMode="External"/><Relationship Id="rIdxfcvk5jlgal_hh9v-uix-" Type="http://schemas.openxmlformats.org/officeDocument/2006/relationships/hyperlink" Target="http://kodeks.duckdns.org/document/205058#st_2" TargetMode="External"/><Relationship Id="rIdvworbogm8vv5ydwqarvdv" Type="http://schemas.openxmlformats.org/officeDocument/2006/relationships/hyperlink" Target="http://kodeks.duckdns.org/document/205058#st_15" TargetMode="External"/><Relationship Id="rIdx8fuwfcrlymvj5zjcrmrn" Type="http://schemas.openxmlformats.org/officeDocument/2006/relationships/hyperlink" Target="http://kodeks.duckdns.org/document/162" TargetMode="External"/><Relationship Id="rId0xokn7spiufviql-5irs6" Type="http://schemas.openxmlformats.org/officeDocument/2006/relationships/hyperlink" Target="http://kodeks.duckdns.org/document/162#st_16" TargetMode="External"/><Relationship Id="rIdk7cnr0ctgz5bbuc52wooo" Type="http://schemas.openxmlformats.org/officeDocument/2006/relationships/hyperlink" Target="http://kodeks.duckdns.org/document/111338" TargetMode="External"/><Relationship Id="rIdzo8vvnhacf_x3kg0ds1fw" Type="http://schemas.openxmlformats.org/officeDocument/2006/relationships/hyperlink" Target="http://kodeks.duckdns.org/document/111338#st_46" TargetMode="External"/><Relationship Id="rIdndjnrzz5ut_gjdon998sj" Type="http://schemas.openxmlformats.org/officeDocument/2006/relationships/hyperlink" Target="http://kodeks.duckdns.org/document/89216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2026-09-22T23:46:38.351Z</dcterms:created>
  <dcterms:modified xsi:type="dcterms:W3CDTF">2026-09-22T23:46:38.351Z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