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 июля</w:t>
      </w:r>
      <w:r>
        <w:rPr>
          <w:rFonts w:ascii="Arial" w:cs="Arial" w:eastAsia="Arial" w:hAnsi="Arial"/>
          <w:sz w:val="24"/>
          <w:szCs w:val="24"/>
        </w:rPr>
        <w:t xml:space="preserve"> 20</w:t>
      </w:r>
      <w:r>
        <w:rPr>
          <w:rFonts w:ascii="Arial" w:cs="Arial" w:eastAsia="Arial" w:hAnsi="Arial"/>
          <w:sz w:val="24"/>
          <w:szCs w:val="24"/>
        </w:rPr>
        <w:t xml:space="preserve">22</w:t>
      </w:r>
      <w:r>
        <w:rPr>
          <w:rFonts w:ascii="Arial" w:cs="Arial" w:eastAsia="Arial" w:hAnsi="Arial"/>
          <w:sz w:val="24"/>
          <w:szCs w:val="24"/>
        </w:rPr>
        <w:t xml:space="preserve"> года № </w:t>
      </w:r>
      <w:r>
        <w:rPr>
          <w:rFonts w:ascii="Arial" w:cs="Arial" w:eastAsia="Arial" w:hAnsi="Arial"/>
          <w:sz w:val="24"/>
          <w:szCs w:val="24"/>
        </w:rPr>
        <w:t xml:space="preserve">56</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и судебной правовой реформы</w:t>
      </w:r>
    </w:p>
    <w:p>
      <w:pPr>
        <w:spacing w:after="400" w:before="400"/>
        <w:jc w:val="center"/>
      </w:pPr>
      <w:r>
        <w:rPr>
          <w:rFonts w:ascii="Arial" w:cs="Arial" w:eastAsia="Arial" w:hAnsi="Arial"/>
          <w:i/>
          <w:iCs/>
          <w:sz w:val="24"/>
          <w:szCs w:val="24"/>
        </w:rPr>
        <w:t xml:space="preserve">(В редакции Закона КР от </w:t>
      </w:r>
      <w:hyperlink w:history="1" r:id="rIducek2v5fz8wcvmisishkz">
        <w:r>
          <w:rPr>
            <w:rFonts w:ascii="Arial" w:cs="Arial" w:eastAsia="Arial" w:hAnsi="Arial"/>
            <w:i/>
            <w:iCs/>
            <w:color w:val="1D4ED8"/>
            <w:sz w:val="24"/>
            <w:szCs w:val="24"/>
            <w:u w:val="single"/>
          </w:rPr>
          <w:t xml:space="preserve">29 апреля 2025 года № 89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btgqg_nlid9vmq_pgsgrw">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следующее изменение:</w:t>
      </w:r>
    </w:p>
    <w:p>
      <w:pPr>
        <w:spacing w:after="60"/>
        <w:ind w:firstLine="567"/>
        <w:jc w:val="both"/>
      </w:pPr>
      <w:r>
        <w:rPr>
          <w:rFonts w:ascii="Arial" w:cs="Arial" w:eastAsia="Arial" w:hAnsi="Arial"/>
          <w:sz w:val="24"/>
          <w:szCs w:val="24"/>
        </w:rPr>
        <w:t xml:space="preserve">в абзаце втором пункта 1 </w:t>
      </w:r>
      <w:hyperlink w:history="1" r:id="rIdapjirvwhky-3cqtsegdrn">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слова "предъявительскими либо" исключить.</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8f8dx1ibyiuywqpiiazl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апреля 2025 года № 89)</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wsfebcm-_qc3o0lxkzc8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(Ведомости Жогорку Кенеша Кыргызской Республики, 2008 г., № 6/2, ст.652) следующее изменение:</w:t>
      </w:r>
    </w:p>
    <w:p>
      <w:pPr>
        <w:spacing w:after="60"/>
        <w:ind w:firstLine="567"/>
        <w:jc w:val="both"/>
      </w:pPr>
      <w:hyperlink w:history="1" r:id="rIdpb4bc6y7xaprtsmbeqbzq">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6qoiycujaafzxmznr0jht">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Ответственность за нарушение законодательства Кыргызской Республики об обязательном страховании гражданской ответственности перевозчика опасных грузов</w:t>
      </w:r>
    </w:p>
    <w:p>
      <w:pPr>
        <w:spacing w:after="60"/>
        <w:ind w:firstLine="56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гражданской ответственности перевозчиков опасных грузов, несут ответственность, предусмотренную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w:t>
      </w:r>
      <w:hyperlink w:history="1" r:id="rIdvzkb89gv_v3p3r0kzre-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(Ведомости Жогорку Кенеша Кыргызской Республики, 2008 г., № 6/2, ст.653) следующее изменение:</w:t>
      </w:r>
    </w:p>
    <w:p>
      <w:pPr>
        <w:spacing w:after="60"/>
        <w:ind w:firstLine="567"/>
        <w:jc w:val="both"/>
      </w:pPr>
      <w:hyperlink w:history="1" r:id="rIditsaote_mewvary8vl-mv">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2qyz2v7mf_r5zwjly2pbm">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Ответственность за нарушение законодательства Кыргызской Республики об обязательном страховании ответственности перевозчика</w:t>
      </w:r>
    </w:p>
    <w:p>
      <w:pPr>
        <w:spacing w:after="60"/>
        <w:ind w:firstLine="56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ответственности перевозчика, несут ответственность в соответствии с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w:t>
      </w:r>
      <w:hyperlink w:history="1" r:id="rIdfxr1ez3i9pakrwhmzlqp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организаций, эксплуатирующих опасные производственные объекты" (Ведомости Жогорку Кенеша Кыргызской Республики, 2008 г., № 6/2, ст.666) следующее изменение:</w:t>
      </w:r>
    </w:p>
    <w:p>
      <w:pPr>
        <w:spacing w:after="60"/>
        <w:ind w:firstLine="567"/>
        <w:jc w:val="both"/>
      </w:pPr>
      <w:hyperlink w:history="1" r:id="rIdihwcbbn6yprkwyctxfht0">
        <w:r>
          <w:rPr>
            <w:rFonts w:ascii="Arial" w:cs="Arial" w:eastAsia="Arial" w:hAnsi="Arial"/>
            <w:color w:val="1D4ED8"/>
            <w:sz w:val="24"/>
            <w:szCs w:val="24"/>
            <w:u w:val="single"/>
          </w:rPr>
          <w:t xml:space="preserve">статью 20</w:t>
        </w:r>
      </w:hyperlink>
      <w:r>
        <w:rPr>
          <w:rFonts w:ascii="Arial" w:cs="Arial" w:eastAsia="Arial" w:hAnsi="Arial"/>
          <w:sz w:val="24"/>
          <w:szCs w:val="24"/>
        </w:rPr>
        <w:t xml:space="preserve"> после слов "законодательством Кыргызской Республики" дополнить словами "о правонарушениях".</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w:t>
      </w:r>
      <w:hyperlink w:history="1" r:id="rIdemgxktiwcpe6hyjbkxm3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изменения:</w:t>
      </w:r>
    </w:p>
    <w:p>
      <w:pPr>
        <w:spacing w:after="60"/>
        <w:ind w:firstLine="567"/>
        <w:jc w:val="both"/>
      </w:pPr>
      <w:r>
        <w:rPr>
          <w:rFonts w:ascii="Arial" w:cs="Arial" w:eastAsia="Arial" w:hAnsi="Arial"/>
          <w:sz w:val="24"/>
          <w:szCs w:val="24"/>
        </w:rPr>
        <w:t xml:space="preserve">1) в </w:t>
      </w:r>
      <w:hyperlink w:history="1" r:id="rIdi-azi8dia_pgkuwvamz82">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статью дополнить абзацем двенадцатым следующего содержания:</w:t>
      </w:r>
    </w:p>
    <w:p>
      <w:pPr>
        <w:spacing w:after="60"/>
        <w:ind w:firstLine="56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б) статью 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"Значительное участие в капитале профессионального участника рынка ценных бумаг - единоличное либо совместно с другими лицами, прямое или косвенное владение или управление 10 и более процентами акций (долей) профессионального участника рынка ценных бумаг.";</w:t>
      </w:r>
    </w:p>
    <w:p>
      <w:pPr>
        <w:spacing w:after="60"/>
        <w:ind w:firstLine="567"/>
        <w:jc w:val="both"/>
      </w:pPr>
      <w:r>
        <w:rPr>
          <w:rFonts w:ascii="Arial" w:cs="Arial" w:eastAsia="Arial" w:hAnsi="Arial"/>
          <w:sz w:val="24"/>
          <w:szCs w:val="24"/>
        </w:rPr>
        <w:t xml:space="preserve">2) </w:t>
      </w:r>
      <w:hyperlink w:history="1" r:id="rIdi4gjapktne0wb5lb4gqo7">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zeymqvsbuhjcxejp-a5r">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Бездокументарные ценные бумаги</w:t>
      </w:r>
    </w:p>
    <w:p>
      <w:pPr>
        <w:spacing w:after="60"/>
        <w:ind w:firstLine="567"/>
        <w:jc w:val="both"/>
      </w:pPr>
      <w:r>
        <w:rPr>
          <w:rFonts w:ascii="Arial" w:cs="Arial" w:eastAsia="Arial" w:hAnsi="Arial"/>
          <w:sz w:val="24"/>
          <w:szCs w:val="24"/>
        </w:rPr>
        <w:t xml:space="preserve">Бездокументарные ценные бумаги - именные ценные бумаги, права по которым удостоверяются записью на счете в реестре держателей ценных бумаг либо записью на счете депо у депозитария.</w:t>
      </w:r>
    </w:p>
    <w:p>
      <w:pPr>
        <w:spacing w:after="60"/>
        <w:ind w:firstLine="567"/>
        <w:jc w:val="both"/>
      </w:pPr>
      <w:r>
        <w:rPr>
          <w:rFonts w:ascii="Arial" w:cs="Arial" w:eastAsia="Arial" w:hAnsi="Arial"/>
          <w:sz w:val="24"/>
          <w:szCs w:val="24"/>
        </w:rPr>
        <w:t xml:space="preserve">На территории Кыргызской Республики все эмиссионные ценные бумаги выпускаются в бездокументарной форме.";</w:t>
      </w:r>
    </w:p>
    <w:p>
      <w:pPr>
        <w:spacing w:after="60"/>
        <w:ind w:firstLine="567"/>
        <w:jc w:val="both"/>
      </w:pPr>
      <w:r>
        <w:rPr>
          <w:rFonts w:ascii="Arial" w:cs="Arial" w:eastAsia="Arial" w:hAnsi="Arial"/>
          <w:sz w:val="24"/>
          <w:szCs w:val="24"/>
        </w:rPr>
        <w:t xml:space="preserve">3) абзац девятнадцатый </w:t>
      </w:r>
      <w:hyperlink w:history="1" r:id="rIdtce89wa8dvoopndv8k3z7">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 привлекать к ответственности в соответствии с законодательством Кыргызской Республики о правонарушениях регулируемые субъекты за нарушения законодательства Кыргызской Республики о ценных бумагах и законодательства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в </w:t>
      </w:r>
      <w:hyperlink w:history="1" r:id="rIdegl8dmz1ik8bfqxgsgdry">
        <w:r>
          <w:rPr>
            <w:rFonts w:ascii="Arial" w:cs="Arial" w:eastAsia="Arial" w:hAnsi="Arial"/>
            <w:color w:val="1D4ED8"/>
            <w:sz w:val="24"/>
            <w:szCs w:val="24"/>
            <w:u w:val="single"/>
          </w:rPr>
          <w:t xml:space="preserve">статье 12:</w:t>
        </w:r>
      </w:hyperlink>
    </w:p>
    <w:p>
      <w:pPr>
        <w:spacing w:after="60"/>
        <w:ind w:firstLine="567"/>
        <w:jc w:val="both"/>
      </w:pPr>
      <w:r>
        <w:rPr>
          <w:rFonts w:ascii="Arial" w:cs="Arial" w:eastAsia="Arial" w:hAnsi="Arial"/>
          <w:sz w:val="24"/>
          <w:szCs w:val="24"/>
        </w:rPr>
        <w:t xml:space="preserve">а) в абзаце первом части 1 слово "административной" исключить;</w:t>
      </w:r>
    </w:p>
    <w:p>
      <w:pPr>
        <w:spacing w:after="60"/>
        <w:ind w:firstLine="567"/>
        <w:jc w:val="both"/>
      </w:pPr>
      <w:r>
        <w:rPr>
          <w:rFonts w:ascii="Arial" w:cs="Arial" w:eastAsia="Arial" w:hAnsi="Arial"/>
          <w:sz w:val="24"/>
          <w:szCs w:val="24"/>
        </w:rPr>
        <w:t xml:space="preserve">б) пункт 2 части 2 изложить в следующей редакции:</w:t>
      </w:r>
    </w:p>
    <w:p>
      <w:pPr>
        <w:spacing w:after="60"/>
        <w:ind w:firstLine="567"/>
        <w:jc w:val="both"/>
      </w:pPr>
      <w:r>
        <w:rPr>
          <w:rFonts w:ascii="Arial" w:cs="Arial" w:eastAsia="Arial" w:hAnsi="Arial"/>
          <w:sz w:val="24"/>
          <w:szCs w:val="24"/>
        </w:rPr>
        <w:t xml:space="preserve">"2) применить меры взыскания;";</w:t>
      </w:r>
    </w:p>
    <w:p>
      <w:pPr>
        <w:spacing w:after="60"/>
        <w:ind w:firstLine="567"/>
        <w:jc w:val="both"/>
      </w:pPr>
      <w:r>
        <w:rPr>
          <w:rFonts w:ascii="Arial" w:cs="Arial" w:eastAsia="Arial" w:hAnsi="Arial"/>
          <w:sz w:val="24"/>
          <w:szCs w:val="24"/>
        </w:rPr>
        <w:t xml:space="preserve">5) абзац пятый части 1 </w:t>
      </w:r>
      <w:hyperlink w:history="1" r:id="rIdhq_jlp4sj_h-1zddo3m5d">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6) </w:t>
      </w:r>
      <w:hyperlink w:history="1" r:id="rIdltpm2jdhlsdq5gbby4zcx">
        <w:r>
          <w:rPr>
            <w:rFonts w:ascii="Arial" w:cs="Arial" w:eastAsia="Arial" w:hAnsi="Arial"/>
            <w:color w:val="1D4ED8"/>
            <w:sz w:val="24"/>
            <w:szCs w:val="24"/>
            <w:u w:val="single"/>
          </w:rPr>
          <w:t xml:space="preserve">статью 41</w:t>
        </w:r>
      </w:hyperlink>
      <w:r>
        <w:rPr>
          <w:rFonts w:ascii="Arial" w:cs="Arial" w:eastAsia="Arial" w:hAnsi="Arial"/>
          <w:sz w:val="24"/>
          <w:szCs w:val="24"/>
        </w:rPr>
        <w:t xml:space="preserve"> дополнить частями 7-13 следующего содержания:</w:t>
      </w:r>
    </w:p>
    <w:p>
      <w:pPr>
        <w:spacing w:after="60"/>
        <w:ind w:firstLine="567"/>
        <w:jc w:val="both"/>
      </w:pPr>
      <w:r>
        <w:rPr>
          <w:rFonts w:ascii="Arial" w:cs="Arial" w:eastAsia="Arial" w:hAnsi="Arial"/>
          <w:sz w:val="24"/>
          <w:szCs w:val="24"/>
        </w:rPr>
        <w:t xml:space="preserve">"7. Учредителями и акционерами профессионального участника рынка ценных бумаг могут быть физические и/или юридические лица - резиденты и нерезиденты Кыргызской Республики с учетом ограничений, установленных настоящей статьей.</w:t>
      </w:r>
    </w:p>
    <w:p>
      <w:pPr>
        <w:spacing w:after="60"/>
        <w:ind w:firstLine="567"/>
        <w:jc w:val="both"/>
      </w:pPr>
      <w:r>
        <w:rPr>
          <w:rFonts w:ascii="Arial" w:cs="Arial" w:eastAsia="Arial" w:hAnsi="Arial"/>
          <w:sz w:val="24"/>
          <w:szCs w:val="24"/>
        </w:rPr>
        <w:t xml:space="preserve">8. Физические и юридические лица, имеющие намерение приобрести значительное участие в капитале профессионального участника рынка ценных бумаг, обязаны в срок не позднее 30 календарных дней до совершения сделки по приобретению значительного участия подтвердить уполномоченному государственному органу по регулированию рынка ценных бумаг законность источника происхождения денежных средств, направляемых на приобретение значительного участия в капитале профессионального участника рынка ценных бумаг, а также представить в уполномоченный государственный орган по регулированию рынка ценных бумаг сведения о своей деятельности, финансовом состоянии, составе акционеров (участников), включая бенефициарных владельцев.</w:t>
      </w:r>
    </w:p>
    <w:p>
      <w:pPr>
        <w:spacing w:after="60"/>
        <w:ind w:firstLine="567"/>
        <w:jc w:val="both"/>
      </w:pPr>
      <w:r>
        <w:rPr>
          <w:rFonts w:ascii="Arial" w:cs="Arial" w:eastAsia="Arial" w:hAnsi="Arial"/>
          <w:sz w:val="24"/>
          <w:szCs w:val="24"/>
        </w:rPr>
        <w:t xml:space="preserve">9. Значительное участие в капитале профессионального участника рынка ценных бумаг не могут иметь:</w:t>
      </w:r>
    </w:p>
    <w:p>
      <w:pPr>
        <w:spacing w:after="60"/>
        <w:ind w:firstLine="567"/>
        <w:jc w:val="both"/>
      </w:pPr>
      <w:r>
        <w:rPr>
          <w:rFonts w:ascii="Arial" w:cs="Arial" w:eastAsia="Arial" w:hAnsi="Arial"/>
          <w:sz w:val="24"/>
          <w:szCs w:val="24"/>
        </w:rPr>
        <w:t xml:space="preserve">1) физические и юридические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2) физические и юридические лица, проживающие и/или зарегистрированные на территории высокорискованных стран либо имеющие в качестве участников аффилированных лиц, зарегистрированных в высокорискованных странах, список которых формируется уполномоченным органом, определяемым Кабинетом Министров Кыргызской Республики в соответствии с законодательством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w:t>
      </w:r>
    </w:p>
    <w:p>
      <w:pPr>
        <w:spacing w:after="60"/>
        <w:ind w:firstLine="567"/>
        <w:jc w:val="both"/>
      </w:pPr>
      <w:r>
        <w:rPr>
          <w:rFonts w:ascii="Arial" w:cs="Arial" w:eastAsia="Arial" w:hAnsi="Arial"/>
          <w:sz w:val="24"/>
          <w:szCs w:val="24"/>
        </w:rPr>
        <w:t xml:space="preserve">4)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владельцев, либо представили такие сведения, которые не позволяют достоверно идентифицировать и изучить участников юридического лица, включая бенефициарных владельцев;</w:t>
      </w:r>
    </w:p>
    <w:p>
      <w:pPr>
        <w:spacing w:after="60"/>
        <w:ind w:firstLine="567"/>
        <w:jc w:val="both"/>
      </w:pPr>
      <w:r>
        <w:rPr>
          <w:rFonts w:ascii="Arial" w:cs="Arial" w:eastAsia="Arial" w:hAnsi="Arial"/>
          <w:sz w:val="24"/>
          <w:szCs w:val="24"/>
        </w:rPr>
        <w:t xml:space="preserve">5) физические и юридические лица, которые в установленном законодательством Кыргызской Республики порядке не подтвердили законность источника происхождения денежных средств, направляемых на приобретение акций (долей).</w:t>
      </w:r>
    </w:p>
    <w:p>
      <w:pPr>
        <w:spacing w:after="60"/>
        <w:ind w:firstLine="567"/>
        <w:jc w:val="both"/>
      </w:pPr>
      <w:r>
        <w:rPr>
          <w:rFonts w:ascii="Arial" w:cs="Arial" w:eastAsia="Arial" w:hAnsi="Arial"/>
          <w:sz w:val="24"/>
          <w:szCs w:val="24"/>
        </w:rPr>
        <w:t xml:space="preserve">10. Сделки, связанные с приобретением значительного участия в капитале профессионального участника рынка ценных бумаг лицами, указанными в части 9 настоящей статьи, либо физическими или юридическими лицами, представившими при приобретении значительного участия в капитале профессионального участника рынка ценных бумаг недостоверную (ложную) информацию, либо лицами, которые перестали соответствовать требованиям, предъявляемым настоящим Законом, являются ничтожными сделками.</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рынка ценных бумаг обращается в суд с требованием о применении последствий недействительности ничтожной сделки.</w:t>
      </w:r>
    </w:p>
    <w:p>
      <w:pPr>
        <w:spacing w:after="60"/>
        <w:ind w:firstLine="567"/>
        <w:jc w:val="both"/>
      </w:pPr>
      <w:r>
        <w:rPr>
          <w:rFonts w:ascii="Arial" w:cs="Arial" w:eastAsia="Arial" w:hAnsi="Arial"/>
          <w:sz w:val="24"/>
          <w:szCs w:val="24"/>
        </w:rPr>
        <w:t xml:space="preserve">11. Уполномоченный государственный орган по регулированию рынка ценных бумаг в установленном Кабинетом Министров Кыргызской Республики порядке вправе запрашивать и получать информацию о лицах, имеющих либо намеревающихся приобрести значительное участие в капитале профессионального участника рынка ценных бумаг.</w:t>
      </w:r>
    </w:p>
    <w:p>
      <w:pPr>
        <w:spacing w:after="60"/>
        <w:ind w:firstLine="567"/>
        <w:jc w:val="both"/>
      </w:pPr>
      <w:r>
        <w:rPr>
          <w:rFonts w:ascii="Arial" w:cs="Arial" w:eastAsia="Arial" w:hAnsi="Arial"/>
          <w:sz w:val="24"/>
          <w:szCs w:val="24"/>
        </w:rPr>
        <w:t xml:space="preserve">12. В случаях, указанных в частях 9 и 10 настоящей статьи, голоса по таким акциям (долям) не учитываются при определении кворума 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В случаях, указанных в частях 9 и 10 настоящей статьи, лицо, со стороны которого выявлено нарушение, обязано в течение 6 месяцев продать соответствующий пакет акций (долей) лицам, не связанным с ним. В противном случае уполномоченный государственный орган по регулированию рынка ценных бумаг обращается в суд о принудительном отчуждении акций (долей) указанного лица.</w:t>
      </w:r>
    </w:p>
    <w:p>
      <w:pPr>
        <w:spacing w:after="60"/>
        <w:ind w:firstLine="567"/>
        <w:jc w:val="both"/>
      </w:pPr>
      <w:r>
        <w:rPr>
          <w:rFonts w:ascii="Arial" w:cs="Arial" w:eastAsia="Arial" w:hAnsi="Arial"/>
          <w:sz w:val="24"/>
          <w:szCs w:val="24"/>
        </w:rPr>
        <w:t xml:space="preserve">13. Уполномоченный государственный орган по регулированию рынка ценных бумаг уведомляет независимого реестродержателя о наступлении последствий, указанных в части 12 настоящей статьи.";</w:t>
      </w:r>
    </w:p>
    <w:p>
      <w:pPr>
        <w:spacing w:after="60"/>
        <w:ind w:firstLine="567"/>
        <w:jc w:val="both"/>
      </w:pPr>
      <w:r>
        <w:rPr>
          <w:rFonts w:ascii="Arial" w:cs="Arial" w:eastAsia="Arial" w:hAnsi="Arial"/>
          <w:sz w:val="24"/>
          <w:szCs w:val="24"/>
        </w:rPr>
        <w:t xml:space="preserve">7) в абзаце четвертом части 2 </w:t>
      </w:r>
      <w:hyperlink w:history="1" r:id="rIdyj58ydfsldgzdhqcc7hdf">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слово "административной" исключить;</w:t>
      </w:r>
    </w:p>
    <w:p>
      <w:pPr>
        <w:spacing w:after="60"/>
        <w:ind w:firstLine="567"/>
        <w:jc w:val="both"/>
      </w:pPr>
      <w:r>
        <w:rPr>
          <w:rFonts w:ascii="Arial" w:cs="Arial" w:eastAsia="Arial" w:hAnsi="Arial"/>
          <w:sz w:val="24"/>
          <w:szCs w:val="24"/>
        </w:rPr>
        <w:t xml:space="preserve">8) часть 1 </w:t>
      </w:r>
      <w:hyperlink w:history="1" r:id="rIdlsxf3fuumkwy4uybcle1k">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"Система депозитариев на территории Кыргызской Республики включает в себя Центральный депозитарий и депозитарии, порядок функционирования которых определяется настоящим Законом.".</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w:t>
      </w:r>
      <w:hyperlink w:history="1" r:id="rIdxqgi6bg5ws2hs-v8r3oc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(Ведомости Жогорку Кенеша Кыргызской Республики, 2015 г., № 7, ст.995) следующее изменение:</w:t>
      </w:r>
    </w:p>
    <w:p>
      <w:pPr>
        <w:spacing w:after="60"/>
        <w:ind w:firstLine="567"/>
        <w:jc w:val="both"/>
      </w:pPr>
      <w:hyperlink w:history="1" r:id="rIdz2vi_mto2bqexk131v7oh">
        <w:r>
          <w:rPr>
            <w:rFonts w:ascii="Arial" w:cs="Arial" w:eastAsia="Arial" w:hAnsi="Arial"/>
            <w:color w:val="1D4ED8"/>
            <w:sz w:val="24"/>
            <w:szCs w:val="24"/>
            <w:u w:val="single"/>
          </w:rPr>
          <w:t xml:space="preserve">статью 30</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Владельцы и (или) водители автотранспортных средств, не исполнившие предусмотренную настоящим Законом обязанность по страхованию своей гражданско-правовой ответственности, несут ответственность, предусмотренную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"Эркин-Тоо" от 8 июля 2022 года № 60-61 (3395-3396)</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мая 2022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cek2v5fz8wcvmisishkz" Type="http://schemas.openxmlformats.org/officeDocument/2006/relationships/hyperlink" Target="http://kodeks.duckdns.org/document/230026520" TargetMode="External"/><Relationship Id="rIdbtgqg_nlid9vmq_pgsgrw" Type="http://schemas.openxmlformats.org/officeDocument/2006/relationships/hyperlink" Target="http://kodeks.duckdns.org/document/4" TargetMode="External"/><Relationship Id="rIdapjirvwhky-3cqtsegdrn" Type="http://schemas.openxmlformats.org/officeDocument/2006/relationships/hyperlink" Target="http://kodeks.duckdns.org/document/4#st_47" TargetMode="External"/><Relationship Id="rId8f8dx1ibyiuywqpiiazlj" Type="http://schemas.openxmlformats.org/officeDocument/2006/relationships/hyperlink" Target="http://kodeks.duckdns.org/document/230026520" TargetMode="External"/><Relationship Id="rIdwsfebcm-_qc3o0lxkzc8o" Type="http://schemas.openxmlformats.org/officeDocument/2006/relationships/hyperlink" Target="http://kodeks.duckdns.org/document/202402" TargetMode="External"/><Relationship Id="rIdpb4bc6y7xaprtsmbeqbzq" Type="http://schemas.openxmlformats.org/officeDocument/2006/relationships/hyperlink" Target="http://kodeks.duckdns.org/document/202402#st_21" TargetMode="External"/><Relationship Id="rId6qoiycujaafzxmznr0jht" Type="http://schemas.openxmlformats.org/officeDocument/2006/relationships/hyperlink" Target="http://kodeks.duckdns.org/document/202402#st_21" TargetMode="External"/><Relationship Id="rIdvzkb89gv_v3p3r0kzre-j" Type="http://schemas.openxmlformats.org/officeDocument/2006/relationships/hyperlink" Target="http://kodeks.duckdns.org/document/202403" TargetMode="External"/><Relationship Id="rIditsaote_mewvary8vl-mv" Type="http://schemas.openxmlformats.org/officeDocument/2006/relationships/hyperlink" Target="http://kodeks.duckdns.org/document/202403#st_24" TargetMode="External"/><Relationship Id="rId2qyz2v7mf_r5zwjly2pbm" Type="http://schemas.openxmlformats.org/officeDocument/2006/relationships/hyperlink" Target="http://kodeks.duckdns.org/document/202403#st_24" TargetMode="External"/><Relationship Id="rIdfxr1ez3i9pakrwhmzlqp7" Type="http://schemas.openxmlformats.org/officeDocument/2006/relationships/hyperlink" Target="http://kodeks.duckdns.org/document/202416" TargetMode="External"/><Relationship Id="rIdihwcbbn6yprkwyctxfht0" Type="http://schemas.openxmlformats.org/officeDocument/2006/relationships/hyperlink" Target="http://kodeks.duckdns.org/document/202416#st_20" TargetMode="External"/><Relationship Id="rIdemgxktiwcpe6hyjbkxm3m" Type="http://schemas.openxmlformats.org/officeDocument/2006/relationships/hyperlink" Target="http://kodeks.duckdns.org/document/202677" TargetMode="External"/><Relationship Id="rIdi-azi8dia_pgkuwvamz82" Type="http://schemas.openxmlformats.org/officeDocument/2006/relationships/hyperlink" Target="http://kodeks.duckdns.org/document/202677#st_3" TargetMode="External"/><Relationship Id="rIdi4gjapktne0wb5lb4gqo7" Type="http://schemas.openxmlformats.org/officeDocument/2006/relationships/hyperlink" Target="http://kodeks.duckdns.org/document/202677#st_4" TargetMode="External"/><Relationship Id="rIdozeymqvsbuhjcxejp-a5r" Type="http://schemas.openxmlformats.org/officeDocument/2006/relationships/hyperlink" Target="http://kodeks.duckdns.org/document/202677#st_4" TargetMode="External"/><Relationship Id="rIdtce89wa8dvoopndv8k3z7" Type="http://schemas.openxmlformats.org/officeDocument/2006/relationships/hyperlink" Target="http://kodeks.duckdns.org/document/202677#st_9" TargetMode="External"/><Relationship Id="rIdegl8dmz1ik8bfqxgsgdry" Type="http://schemas.openxmlformats.org/officeDocument/2006/relationships/hyperlink" Target="http://kodeks.duckdns.org/document/202677#st_12" TargetMode="External"/><Relationship Id="rIdhq_jlp4sj_h-1zddo3m5d" Type="http://schemas.openxmlformats.org/officeDocument/2006/relationships/hyperlink" Target="http://kodeks.duckdns.org/document/202677#st_35" TargetMode="External"/><Relationship Id="rIdltpm2jdhlsdq5gbby4zcx" Type="http://schemas.openxmlformats.org/officeDocument/2006/relationships/hyperlink" Target="http://kodeks.duckdns.org/document/202677#st_41" TargetMode="External"/><Relationship Id="rIdyj58ydfsldgzdhqcc7hdf" Type="http://schemas.openxmlformats.org/officeDocument/2006/relationships/hyperlink" Target="http://kodeks.duckdns.org/document/202677#st_42" TargetMode="External"/><Relationship Id="rIdlsxf3fuumkwy4uybcle1k" Type="http://schemas.openxmlformats.org/officeDocument/2006/relationships/hyperlink" Target="http://kodeks.duckdns.org/document/202677#st_46" TargetMode="External"/><Relationship Id="rIdxqgi6bg5ws2hs-v8r3oce" Type="http://schemas.openxmlformats.org/officeDocument/2006/relationships/hyperlink" Target="http://kodeks.duckdns.org/document/111236" TargetMode="External"/><Relationship Id="rIdz2vi_mto2bqexk131v7oh" Type="http://schemas.openxmlformats.org/officeDocument/2006/relationships/hyperlink" Target="http://kodeks.duckdns.org/document/111236#st_30"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2026-09-22T23:03:59.556Z</dcterms:created>
  <dcterms:modified xsi:type="dcterms:W3CDTF">2026-09-22T23:03:59.556Z</dcterms:modified>
</cp:coreProperties>
</file>

<file path=docProps/custom.xml><?xml version="1.0" encoding="utf-8"?>
<Properties xmlns="http://schemas.openxmlformats.org/officeDocument/2006/custom-properties" xmlns:vt="http://schemas.openxmlformats.org/officeDocument/2006/docPropsVTypes"/>
</file>