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августа 2022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гарантийных фондах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jqdhsc4khgck4gjut6i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гарантийных фондах в Кыргызской Республике" (Ведомости Жогорку Кенеша Кыргызской Республики, 2019 г., № 4, ст.187)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slmnhrq9u50rpvpnbo5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pg5ead5bqd9vjual4l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понятия и термины,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настоящем Законе используются следующие понятия и термины: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) гарантийный фонд</w:t>
      </w:r>
      <w:r>
        <w:rPr>
          <w:rFonts w:ascii="Arial" w:cs="Arial" w:eastAsia="Arial" w:hAnsi="Arial"/>
          <w:sz w:val="24"/>
          <w:szCs w:val="24"/>
        </w:rPr>
        <w:t xml:space="preserve"> - юридическое лицо, создаваемое в форме акционерного общества, прошедшее процедуру учетной регистрации в Национальном банке Кыргызской Республики (далее - Национальный банк) и осуществляющее гарантийную деятельность;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клиент </w:t>
      </w:r>
      <w:r>
        <w:rPr>
          <w:rFonts w:ascii="Arial" w:cs="Arial" w:eastAsia="Arial" w:hAnsi="Arial"/>
          <w:sz w:val="24"/>
          <w:szCs w:val="24"/>
        </w:rPr>
        <w:t xml:space="preserve">- субъект предпринимательства и участник государственных жилищных программ, часть обязательств которых обеспечена гарантией по договору финансирования с финансово-кредитной организацией;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</w:t>
      </w:r>
      <w:r>
        <w:rPr>
          <w:rFonts w:ascii="Arial" w:cs="Arial" w:eastAsia="Arial" w:hAnsi="Arial"/>
          <w:sz w:val="24"/>
          <w:szCs w:val="24"/>
        </w:rPr>
        <w:t xml:space="preserve"> предпринимательства - физическое лицо, занимающееся предпринимательской деятельностью без образования юридического лица, и юридическое лицо, определенное в соответствии с налоговым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 государственных жилищных программ</w:t>
      </w:r>
      <w:r>
        <w:rPr>
          <w:rFonts w:ascii="Arial" w:cs="Arial" w:eastAsia="Arial" w:hAnsi="Arial"/>
          <w:sz w:val="24"/>
          <w:szCs w:val="24"/>
        </w:rPr>
        <w:t xml:space="preserve"> - гражданин Кыргызской Республики, подавший заявление и прошедший отбор на получение жилищного финансирования в рамках реализации государственных жилищных программ, утвержденных Кабинетом 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обязательства клиента</w:t>
      </w:r>
      <w:r>
        <w:rPr>
          <w:rFonts w:ascii="Arial" w:cs="Arial" w:eastAsia="Arial" w:hAnsi="Arial"/>
          <w:sz w:val="24"/>
          <w:szCs w:val="24"/>
        </w:rPr>
        <w:t xml:space="preserve"> - обязательства, возникшие в рамках полученного от финансово-кредитной организации финансирования и соответствующие требованиям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гарантия</w:t>
      </w:r>
      <w:r>
        <w:rPr>
          <w:rFonts w:ascii="Arial" w:cs="Arial" w:eastAsia="Arial" w:hAnsi="Arial"/>
          <w:sz w:val="24"/>
          <w:szCs w:val="24"/>
        </w:rPr>
        <w:t xml:space="preserve"> - обязательство гарантийного фонда перед финансово-кредитной организацией нести ответственность за исполнение части обязательств по основному долгу клиента по договорам финансирования в пределах суммы предоставленной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гарантийная деятельность</w:t>
      </w:r>
      <w:r>
        <w:rPr>
          <w:rFonts w:ascii="Arial" w:cs="Arial" w:eastAsia="Arial" w:hAnsi="Arial"/>
          <w:sz w:val="24"/>
          <w:szCs w:val="24"/>
        </w:rPr>
        <w:t xml:space="preserve"> - деятельность, способствующая повышению доступности финансирования клиентам и направленная на снижение части кредитных рисков финансово-кредитных организаций путем предоставления гарантий по договорам и/или соглашениям финансирования клиентов и другими гарантийными инструментами;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предоставления гарантий</w:t>
      </w:r>
      <w:r>
        <w:rPr>
          <w:rFonts w:ascii="Arial" w:cs="Arial" w:eastAsia="Arial" w:hAnsi="Arial"/>
          <w:sz w:val="24"/>
          <w:szCs w:val="24"/>
        </w:rPr>
        <w:t xml:space="preserve"> - документ, утверждаемый уполномоченным органом гарантийного фонда, регламентирующий порядок и условия предоставления гарантий, виды гарантийных инструментов, принципы предоставления гарантий, критерии и требования отбора обязательств клиентов, а также условия амортизации гарантии и ответственность сторон, соответствующий требованиям нормативных правовых актов Национального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гарантийные инструменты</w:t>
      </w:r>
      <w:r>
        <w:rPr>
          <w:rFonts w:ascii="Arial" w:cs="Arial" w:eastAsia="Arial" w:hAnsi="Arial"/>
          <w:sz w:val="24"/>
          <w:szCs w:val="24"/>
        </w:rPr>
        <w:t xml:space="preserve"> - совокупность различных форм и видов гарантий, используемых для обеспечения обязательств клиентов по договорам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финансово-кредитные организации</w:t>
      </w:r>
      <w:r>
        <w:rPr>
          <w:rFonts w:ascii="Arial" w:cs="Arial" w:eastAsia="Arial" w:hAnsi="Arial"/>
          <w:sz w:val="24"/>
          <w:szCs w:val="24"/>
        </w:rPr>
        <w:t xml:space="preserve"> - банки, небанковские финансово-кредитные организации, которые на основании выданных им лицензий (свидетельств) Национального банка имеют право осуществлять банковские операции, а также международные организации, осуществляющие кредитование (финансирование) и заключившие с гарантийным фондом соглашение о сотрудничестве;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финансирование </w:t>
      </w:r>
      <w:r>
        <w:rPr>
          <w:rFonts w:ascii="Arial" w:cs="Arial" w:eastAsia="Arial" w:hAnsi="Arial"/>
          <w:sz w:val="24"/>
          <w:szCs w:val="24"/>
        </w:rPr>
        <w:t xml:space="preserve">- предоставление финансово-кредитными организациями ипотечных/коммерческих кредитов и их заменителей, а также сделки/операции, осуществляемые в соответствии с исламскими принципами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коэффициент мультипликатора</w:t>
      </w:r>
      <w:r>
        <w:rPr>
          <w:rFonts w:ascii="Arial" w:cs="Arial" w:eastAsia="Arial" w:hAnsi="Arial"/>
          <w:sz w:val="24"/>
          <w:szCs w:val="24"/>
        </w:rPr>
        <w:t xml:space="preserve"> - установленное Национальным банком отношение возможного превышения объема гарантийного портфеля к размеру собственного капитала гарантийного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гарантийный портфель</w:t>
      </w:r>
      <w:r>
        <w:rPr>
          <w:rFonts w:ascii="Arial" w:cs="Arial" w:eastAsia="Arial" w:hAnsi="Arial"/>
          <w:sz w:val="24"/>
          <w:szCs w:val="24"/>
        </w:rPr>
        <w:t xml:space="preserve"> - совокупный объем обязательств гарантийного фонда по договорам и/или соглашениям финансирования клиентов на определенную дату;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регрессное требование</w:t>
      </w:r>
      <w:r>
        <w:rPr>
          <w:rFonts w:ascii="Arial" w:cs="Arial" w:eastAsia="Arial" w:hAnsi="Arial"/>
          <w:sz w:val="24"/>
          <w:szCs w:val="24"/>
        </w:rPr>
        <w:t xml:space="preserve"> - право гарантийного фонда требовать от клиента возмещения суммы, выплаченной финансово-кредитной организации во исполнение обязательства по договору гарантии;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участники гарантийных фондов</w:t>
      </w:r>
      <w:r>
        <w:rPr>
          <w:rFonts w:ascii="Arial" w:cs="Arial" w:eastAsia="Arial" w:hAnsi="Arial"/>
          <w:sz w:val="24"/>
          <w:szCs w:val="24"/>
        </w:rPr>
        <w:t xml:space="preserve"> - учредители и акционеры гарантийных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Другие термины и определения, используемые в настоящем Законе, понимаются в соответствии с их общепринятым значением в </w:t>
      </w:r>
      <w:hyperlink w:history="1" r:id="rIdnopk-7mczpq2ivxe9rwp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Законе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деятельности", законодательстве Кыргызской Республики и в международной практике, если иное не определено настоящим Законом.";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lpce1w80mrqboy4fzxw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4 слова "субъектов предпринимательства" заменить словом "клиентов";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5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icypwg5ua3ip1dztlsd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Любое физическое или юридическое лицо, намеревающееся единолично или совместно с другими лицами приобрести в совокупности более 10 процентов акций в уставном капитале гарантийного фонда, в том числе путем дополнительного приобретения акций, обязано получить письменное разрешение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части 1 и 2 </w:t>
      </w:r>
      <w:hyperlink w:history="1" r:id="rIdzompipjzyo6d9jt5oo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Гарантийные фонды формируют органы управления в соответствии с </w:t>
      </w:r>
      <w:hyperlink w:history="1" r:id="rIdvg_l2wgmchzxxhmcusu9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с учетом особенностей, предусмотренных настоящим Законом: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собрание акционеров - высший орган управления фондом;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совет директоров - орган управления фонда, осуществляющий общее руководство обществом в период между общими собраниями акционеров. Члены совета директоров фонда избираются общим собранием акционеров в порядке, предусмотренном </w:t>
      </w:r>
      <w:hyperlink w:history="1" r:id="rIdbmiqso1tcnqjnwvtwt7f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правление - орган, осуществляющий руководство текущей деятельностью фонда. Члены правления фонда избираются советом директоров фонда в порядке, предусмотренном </w:t>
      </w:r>
      <w:hyperlink w:history="1" r:id="rIdw-wzxalh29l3v1hbvku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 и уставом фонда, на срок не более 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ревизионная комиссия - контрольный орган, осуществляющий контроль за финансово-хозяйственной деятельностью фонда. Избирается в соответствии с </w:t>
      </w:r>
      <w:hyperlink w:history="1" r:id="rIdyb0yxms9zmv56hbdtli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акционерных обществах".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Деятельность, правовой статус и компетенция органов управления гарантийных фондов регулируются законодательством Кыргызской Республики с учетом особенностей, предусмотренных нормативными правовыми актами Национального банка, уставом и внутренними нормативными документами гарантийного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idlj8xkw1pdneutet0t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"субъектов предпринимательства" заменить словом "клиентов";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часть 3 </w:t>
      </w:r>
      <w:hyperlink w:history="1" r:id="rId58itgwoiukfy8jwrv52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Размер вознаграждения за услуги устанавливается гарантийными фондами самостоятельно в соответствии с договором и/или соглашением, с учетом особенностей, предусмотренных нормативными правовыми актами Национального банка.";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статьи </w:t>
      </w:r>
      <w:hyperlink w:history="1" r:id="rIdjxf7kqafkemezptitfp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s6yqzbgsls80xl-xodco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6hqtae3fn1yra0hy0yb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12</w:t>
        </w:r>
      </w:hyperlink>
      <w:r>
        <w:rPr>
          <w:rFonts w:ascii="Arial" w:cs="Arial" w:eastAsia="Arial" w:hAnsi="Arial"/>
          <w:sz w:val="24"/>
          <w:szCs w:val="24"/>
        </w:rPr>
        <w:t xml:space="preserve">. Предоставление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Гарантия предоставляется на часть обязательства клиента перед финансово-кредитной организацией в соответствии с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pc7tvdnti8w65oo_b51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13</w:t>
        </w:r>
      </w:hyperlink>
      <w:r>
        <w:rPr>
          <w:rFonts w:ascii="Arial" w:cs="Arial" w:eastAsia="Arial" w:hAnsi="Arial"/>
          <w:sz w:val="24"/>
          <w:szCs w:val="24"/>
        </w:rPr>
        <w:t xml:space="preserve">. Основные условия предоставления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Объем ответственности гарантийного фонда по заключенным договорам и/или соглашениям предоставления гарантии не должен превышать 50 процентов от объема основных обязательств (основной суммы финансирования) клиента перед финансово-кредитной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Максимальный размер гарантии на одно лицо или группу связанных лиц определяется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Предоставление гарантии осуществляется на основе договора и/или соглашения, является возмездной и размер вознаграждения определяется соответствующим уполномоченным органом гарантийного фонда, предусмотренный уставом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Гарантии предоставляются только в национальной валюте Кыргызской Республики, за исключением случаев, предусмотренных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Коэффициент мультипликатора устанавливается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vul5jkdtzx6fbhr4ygf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Ответственность гарантийного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Ответственность гарантийного фонда за неисполнение или ненадлежащее исполнение клиентом обязательства, часть которого обеспечена гарантией, определяется политикой предоставления гарантий, соглашением о сотрудничестве с финансово-кредитными организациями и в соответствии с нормативными правовыми актами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Гарантийный фонд не обеспечивает исполнение обязательств клиента по финансированию в части уплаты процентов, неустойки, штрафа, пеней, комиссионных.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Обязанность гарантийного фонда по исполнению обязательств клиента наступает при нарушении клиентом сроков возврата финансирования. При этом финансово-кредитная организация в срок, установленный гражданским законодательством Кыргызской Республики, со дня неисполнения клиентом обязательств по договору финансирования в письменном виде уведомляет гарантийный фонд о нарушении условий договора, допущенном клиентом.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Обязанность гарантийного фонда, указанная в абзаце первом настоящей части, возникает после предоставления финансово-кредитной организацией соответствующего пакета документов, предусмотренного политикой предоставления гарантий, подтверждающего реализацию финансово-кредитной организацией необходимых мер по взысканию задолженности, предусмотренных политикой предоставления гарантий.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предоставления полного пакета документов по реализации финансово-кредитной организацией необходимых мер по взысканию задолженности, перечень которых определен политикой предоставления гарантий, гарантийный фонд исполняет требования по гарантии в порядке и на условиях заключенного соглашения о сотрудничестве с финансово-кредитной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 момента исполнения гарантийным фондом требований, предусмотренных настоящей статьей, гарантийный фонд приобретает в регрессном порядке право требования к клиенту по возмещению суммы, выплаченной гарантийным фондом финансово-кредитной организации по договору финансирования в объеме исполненных обязательств в соответствии с гражданским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Средства, полученные гарантийным фондом при удовлетворении регрессных требований к клиенту-должнику, остаются в распоряжении гарантийного фонда и направляются на развитие гарантийного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часть 7 </w:t>
      </w:r>
      <w:hyperlink w:history="1" r:id="rId_bgdl1xvvb0a5_mm_fm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Любые сведения, полученные гарантийными фондами в рамках взаимодействия с клиентами при выдаче гарантий или иным образом в связи с взаимоотношением гарантийного фонда с клиентом либо созданные гарантийным фондом, являются сведениями, относящимися к банковской тайне, и регламентируются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2 </w:t>
      </w:r>
      <w:hyperlink w:history="1" r:id="rIdtujbztsbirkzb3ewt0k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В случае ликвидации активы гарантийного фонда подлежат распределению в соответствии с законодательством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августа 2022 года № 70(3405)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Республики, Национальному банку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июня</w:t>
      </w:r>
      <w:r>
        <w:rPr>
          <w:rFonts w:ascii="Arial" w:cs="Arial" w:eastAsia="Arial" w:hAnsi="Arial"/>
          <w:sz w:val="24"/>
          <w:szCs w:val="24"/>
        </w:rPr>
        <w:t xml:space="preserve">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o4l9msp0f03513kqut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dalil.kg/document/112422</w:t>
      </w:r>
    </w:hyperlink>
  </w:p>
  <w:p>
    <w:pPr>
      <w:spacing w:after="0" w:before="40"/>
      <w:jc w:val="center"/>
    </w:pPr>
    <w:hyperlink w:history="1" r:id="rIdke5qs_kyo_fddnk6lrwv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dhsc4khgck4gjut6ifb" Type="http://schemas.openxmlformats.org/officeDocument/2006/relationships/hyperlink" Target="https://dalil.kg/document/111890" TargetMode="External"/><Relationship Id="rIdslmnhrq9u50rpvpnbo5qk" Type="http://schemas.openxmlformats.org/officeDocument/2006/relationships/hyperlink" Target="https://dalil.kg/document/111890#st_1" TargetMode="External"/><Relationship Id="rIdcpg5ead5bqd9vjual4lem" Type="http://schemas.openxmlformats.org/officeDocument/2006/relationships/hyperlink" Target="https://dalil.kg/document/111890#st_1" TargetMode="External"/><Relationship Id="rIdnopk-7mczpq2ivxe9rwpe" Type="http://schemas.openxmlformats.org/officeDocument/2006/relationships/hyperlink" Target="https://dalil.kg/document/111486" TargetMode="External"/><Relationship Id="rIdlpce1w80mrqboy4fzxwju" Type="http://schemas.openxmlformats.org/officeDocument/2006/relationships/hyperlink" Target="https://dalil.kg/document/111890#st_4" TargetMode="External"/><Relationship Id="rIdicypwg5ua3ip1dztlsdqj" Type="http://schemas.openxmlformats.org/officeDocument/2006/relationships/hyperlink" Target="https://dalil.kg/document/111890#st_5" TargetMode="External"/><Relationship Id="rIdzompipjzyo6d9jt5ooweh" Type="http://schemas.openxmlformats.org/officeDocument/2006/relationships/hyperlink" Target="https://dalil.kg/document/111890#st_6" TargetMode="External"/><Relationship Id="rIdvg_l2wgmchzxxhmcusu91" Type="http://schemas.openxmlformats.org/officeDocument/2006/relationships/hyperlink" Target="https://dalil.kg/document/1188" TargetMode="External"/><Relationship Id="rIdbmiqso1tcnqjnwvtwt7f7" Type="http://schemas.openxmlformats.org/officeDocument/2006/relationships/hyperlink" Target="https://dalil.kg/document/1188" TargetMode="External"/><Relationship Id="rIdw-wzxalh29l3v1hbvkuqp" Type="http://schemas.openxmlformats.org/officeDocument/2006/relationships/hyperlink" Target="https://dalil.kg/document/1188" TargetMode="External"/><Relationship Id="rIdyb0yxms9zmv56hbdtli5t" Type="http://schemas.openxmlformats.org/officeDocument/2006/relationships/hyperlink" Target="https://dalil.kg/document/1188" TargetMode="External"/><Relationship Id="rIdidlj8xkw1pdneutet0tpy" Type="http://schemas.openxmlformats.org/officeDocument/2006/relationships/hyperlink" Target="https://dalil.kg/document/111890#st_7" TargetMode="External"/><Relationship Id="rId58itgwoiukfy8jwrv52jc" Type="http://schemas.openxmlformats.org/officeDocument/2006/relationships/hyperlink" Target="https://dalil.kg/document/111890#st_9" TargetMode="External"/><Relationship Id="rIdjxf7kqafkemezptitfps8" Type="http://schemas.openxmlformats.org/officeDocument/2006/relationships/hyperlink" Target="https://dalil.kg/document/111890#st_12" TargetMode="External"/><Relationship Id="rIds6yqzbgsls80xl-xodcoy" Type="http://schemas.openxmlformats.org/officeDocument/2006/relationships/hyperlink" Target="https://dalil.kg/document/111890#st_14" TargetMode="External"/><Relationship Id="rId6hqtae3fn1yra0hy0ybrj" Type="http://schemas.openxmlformats.org/officeDocument/2006/relationships/hyperlink" Target="https://dalil.kg/document/111890#st_12" TargetMode="External"/><Relationship Id="rIdpc7tvdnti8w65oo_b51xa" Type="http://schemas.openxmlformats.org/officeDocument/2006/relationships/hyperlink" Target="https://dalil.kg/document/111890#st_13" TargetMode="External"/><Relationship Id="rIdvul5jkdtzx6fbhr4ygfrq" Type="http://schemas.openxmlformats.org/officeDocument/2006/relationships/hyperlink" Target="https://dalil.kg/document/111890#st_14" TargetMode="External"/><Relationship Id="rId_bgdl1xvvb0a5_mm_fmck" Type="http://schemas.openxmlformats.org/officeDocument/2006/relationships/hyperlink" Target="https://dalil.kg/document/111890#st_15" TargetMode="External"/><Relationship Id="rIdtujbztsbirkzb3ewt0ko0" Type="http://schemas.openxmlformats.org/officeDocument/2006/relationships/hyperlink" Target="https://dalil.kg/document/111890#st_2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o4l9msp0f03513kqut4j" Type="http://schemas.openxmlformats.org/officeDocument/2006/relationships/hyperlink" Target="https://dalil.kg/document/112422" TargetMode="External"/><Relationship Id="rIdke5qs_kyo_fddnk6lrwv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2026-09-23T18:13:58.389Z</dcterms:created>
  <dcterms:modified xsi:type="dcterms:W3CDTF">2026-09-23T18:13:58.389Z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