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3h-az9liwft0m7r64yk2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2022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Земельный кодекс Кыргызской Республики, Закон Кыргызской Республики "О пастбищах")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</w:t>
      </w:r>
      <w:hyperlink w:history="1" r:id="rIdvu43-pjqmlhgdbp-hei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9, ст.440)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13 </w:t>
      </w:r>
      <w:hyperlink w:history="1" r:id="rId9f9p97_rvd1fk6npgip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малопродуктивные сельскохозяйственные угодья</w:t>
      </w:r>
      <w:r>
        <w:rPr>
          <w:rFonts w:ascii="Arial" w:cs="Arial" w:eastAsia="Arial" w:hAnsi="Arial"/>
          <w:sz w:val="24"/>
          <w:szCs w:val="24"/>
        </w:rPr>
        <w:t xml:space="preserve"> - сельскохозяйственные угодья с баллом бонитета почв не выше 20 или с урожайностью в кормовых единицах менее 0,8 ц/га (для сенокосов и пастбищ), неблагоприятные в мелиоративном отношении и требующие проведения мероприятий по их улучшению;";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84md_4p_reemvdntcg8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6, 7 и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Малопродуктивные пастбища могут предоставляться в пользование гражданам и юридическим лицам Кыргызской Республики для освоения и ведения сельскохозяйственного производства сроком до 20 лет после изменения целевого назначения земель в установленном порядке с последующим включением в состав земель Государственного фонда сельскохозяйственных угодий. По истечении данного срока по согласованию сторон сроки пользования земельным участком могут быть продлены.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Обязательным условием при предоставлении в пользование малопродуктивных пастбищ после изменения целевого назначения земель является повышение продуктивности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малопродуктивных пастбищ для освоения и ведения сельскохозяйственного производства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 подлежат предоставлению под освоение и ведение сельскохозяйственного производства малопродуктивные сельскохозяйственные угодья, занятые скотопрогонами, территории, на которых обитают эндемичные виды фауны и произрастают эндемичные виды растительности.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 подлежат предоставлению в пользование малопродуктивные пастбища без наличия положительного заключения уполномоченного органа в сфере историко-культурного наследия.".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e3farfxnd_tazu3gia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(Ведомости Жогорку Кенеша Кыргызской Республики, 2009 г., № 1, ст.30) следующее изменение:</w:t>
      </w:r>
    </w:p>
    <w:p>
      <w:pPr>
        <w:spacing w:after="120"/>
        <w:jc w:val="both"/>
      </w:pPr>
      <w:hyperlink w:history="1" r:id="rIdi8pxkbbhcjhhtzdcdju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двадцать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Малопродуктивные пастбища</w:t>
      </w:r>
      <w:r>
        <w:rPr>
          <w:rFonts w:ascii="Arial" w:cs="Arial" w:eastAsia="Arial" w:hAnsi="Arial"/>
          <w:sz w:val="24"/>
          <w:szCs w:val="24"/>
        </w:rPr>
        <w:t xml:space="preserve"> - пастбища с урожайностью в кормовых единицах менее 0,8 ц/га (для сенокосов и пастбищ), неблагоприятные в мелиоративном отношении и требующие проведения мероприятий по их улучшению.".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(3404)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июня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h-az9liwft0m7r64yk2s" Type="http://schemas.openxmlformats.org/officeDocument/2006/relationships/hyperlink" Target="http://kodeks.duckdns.org/document/230029580" TargetMode="External"/><Relationship Id="rIdvu43-pjqmlhgdbp-hei9z" Type="http://schemas.openxmlformats.org/officeDocument/2006/relationships/hyperlink" Target="http://kodeks.duckdns.org/document/8" TargetMode="External"/><Relationship Id="rId9f9p97_rvd1fk6npgipzo" Type="http://schemas.openxmlformats.org/officeDocument/2006/relationships/hyperlink" Target="http://kodeks.duckdns.org/document/8#st_1" TargetMode="External"/><Relationship Id="rId84md_4p_reemvdntcg82h" Type="http://schemas.openxmlformats.org/officeDocument/2006/relationships/hyperlink" Target="http://kodeks.duckdns.org/document/8#st_30" TargetMode="External"/><Relationship Id="rIdxe3farfxnd_tazu3giaib" Type="http://schemas.openxmlformats.org/officeDocument/2006/relationships/hyperlink" Target="http://kodeks.duckdns.org/document/202594" TargetMode="External"/><Relationship Id="rIdi8pxkbbhcjhhtzdcdjune" Type="http://schemas.openxmlformats.org/officeDocument/2006/relationships/hyperlink" Target="http://kodeks.duckdns.org/document/202594#st_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2026-09-23T09:37:55.224Z</dcterms:created>
  <dcterms:modified xsi:type="dcterms:W3CDTF">2026-09-23T09:37:55.224Z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