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25 января 2023 года № 13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бюджете Фонда обязательного медицинского страхования при Министерстве здравоохранения Кыргызской Республики на 2022 год и прогнозе на 2023-2024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vnhkgg7rlk16hsibqu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Министерстве здравоохранения Кыргызской Республики на 2022 год и прогнозе на 2023-2024 годы" (газета "Эркин-Тоо" от 29 апреля 2022 года № 40-41)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jv310xoenpkw45rwhee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"20255518,5" заменить цифрами "24951939,5";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nmbyjl6zlci8uokt9sh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цифры "15614747,8" заменить цифрами "19538843,9";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2 цифры "3079112,0" заменить цифрами "3541558,0";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</w:t>
      </w:r>
      <w:hyperlink w:history="1" r:id="rIdhehtpfge3agxl1ygqwr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"256592,7" заменить цифрами "295129,8";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приложения </w:t>
      </w:r>
      <w:hyperlink w:history="1" r:id="rIdi_hhuem12gunh-uv5hr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bsuztdjecdclwfdjbk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raeh9dhcbwe6mw835eu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редакции согласно приложениям </w:t>
      </w:r>
      <w:hyperlink w:history="1" r:id="rIdwru2tbn32w7eiek6q7j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o5ksflsvvgrsgoagn37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27 января 2023 года № 6 (3455)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 декабря 2022 года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043ht7wkmb3tn5pvru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Фонда обязательного медицинского страхования при Министерстве здравоохранения Кыргызской Республики на 2022 год и прогнозе на 2023-2024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2022 год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8580"/>
        <w:gridCol w:w="983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Код</w:t>
            </w:r>
          </w:p>
        </w:tc>
        <w:tc>
          <w:tcPr>
            <w:tcW w:type="dxa" w:w="85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показателей</w:t>
            </w:r>
          </w:p>
        </w:tc>
        <w:tc>
          <w:tcPr>
            <w:tcW w:type="dxa" w:w="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2022 год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ресурсов: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24951939,5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Доходы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24680865,2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Взносы/отчисления на социальные нужды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30000,0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1231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Полученные официальные трансферты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23218401,9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1312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Трансферты от международных организаций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138000,0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1333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19538843,9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1335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3541558,0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Неналоговые доходы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1432463,3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1423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Поступления от оказания платных услуг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1432463,3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средства сооплаты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667754,1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Остаток на начало года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271074,3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общие расходы: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24951939,5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Расходы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24951939,5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2111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Заработная плата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152831,9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2121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Взносы/отчисления на социальные нужды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23066,6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2211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служебные поездки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8906,4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2212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Услуги связи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1923,4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2213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Арендная плата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7490,6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2214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Транспортные услуги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4039,4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2215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прочих товаров и услуг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10192,6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24710919,1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2221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текущий ремонт имущества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2081,6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2222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4641,7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2224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угля и других видов топлива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2226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оплату услуг банков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2912,4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2231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Коммунальные услуги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1237,6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2823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Исполнение решений суда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250,3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3111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Здания и сооружения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3112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Машины и оборудование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10265,9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3113</w:t>
            </w:r>
          </w:p>
        </w:tc>
        <w:tc>
          <w:tcPr>
            <w:tcW w:type="dxa" w:w="8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Другие основные фонды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9520,0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ddwjhtuafpwgxtpuka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Фонда обязательного медицинского страхования при Министерстве здравоохранения Кыргызской Республики на 2022 год и прогнозе на 2023-2024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2022 год - Доходы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2"/>
        <w:gridCol w:w="8513"/>
        <w:gridCol w:w="973"/>
      </w:tblGrid>
      <w:tr>
        <w:tc>
          <w:tcPr>
            <w:tcW w:type="dxa" w:w="6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Код</w:t>
            </w:r>
          </w:p>
        </w:tc>
        <w:tc>
          <w:tcPr>
            <w:tcW w:type="dxa" w:w="8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доходов</w:t>
            </w:r>
          </w:p>
        </w:tc>
        <w:tc>
          <w:tcPr>
            <w:tcW w:type="dxa" w:w="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2022 год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Доходы с учетом остатка на начало года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24951939,5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Остаток на начало года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271074,3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Доходы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24680865,2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Взносы/отчисления на социальные нужды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30000,0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1231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30000,0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12311200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Поступления от выдачи полиса ОМС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30000,0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Полученные официальные трансферты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23218401,9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1312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Трансферты от международных организаций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138000,0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13121100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Текущие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138000,0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1333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19538843,9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13332100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Средства, полученные из республиканского бюджета на базовое государственное медицинское страхование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19082714,5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13332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Средства, полученные из республиканского бюджета в качестве компенсации страховых взносов на льготные категории населения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456129,4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13332210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детей до 16 лет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359917,4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13332220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пенсионеров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82142,0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13332230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инвалидов с детства и лиц, получающих социальные пособия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8996,1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13332240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заведений, студентов средних и высших профессиональных учебных заведений до достижения ими возраста 21 года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3692,6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13332250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безработных граждан, официально зарегистрированных в государственной службе занятости населения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930,8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13332260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службы, офицеров, прапорщиков, военнослужащих сверхсрочной службы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450,5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1335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3541558,0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13351100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3541558,0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Неналоговые доходы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1432463,3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1423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Поступления от оказания платных услуг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1432463,3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средства сооплаты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667754,1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id5ukjazcqiytapwsld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Фонда обязательного медицинского страхования при Министерстве здравоохранения Кыргызской Республики на 2022 год и прогнозе на 2023-2024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Министерстве здравоохранения Кыргызской Республики на 2022 год - Расходы
 </w:t>
      </w:r>
      <w:r>
        <w:rPr>
          <w:rFonts w:ascii="Arial" w:cs="Arial" w:eastAsia="Arial" w:hAnsi="Arial"/>
          <w:sz w:val="24"/>
          <w:szCs w:val="24"/>
        </w:rPr>
        <w:t xml:space="preserve">(по ведомственной классификации и экономической классификации расходов)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7"/>
        <w:gridCol w:w="8668"/>
        <w:gridCol w:w="973"/>
      </w:tblGrid>
      <w:tr>
        <w:tc>
          <w:tcPr>
            <w:tcW w:type="dxa" w:w="5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Код</w:t>
            </w:r>
          </w:p>
        </w:tc>
        <w:tc>
          <w:tcPr>
            <w:tcW w:type="dxa" w:w="8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показателей</w:t>
            </w:r>
          </w:p>
        </w:tc>
        <w:tc>
          <w:tcPr>
            <w:tcW w:type="dxa" w:w="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2022 год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24951939,5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36110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Фонд обязательного медицинского страхования (аппарат)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73707,0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2111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Заработная плата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52632,5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Взносы/отчисления на социальные нужды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7918,2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служебные поездки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Услуги связи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660,1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2213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Арендная плата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4720,0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2214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Транспортные услуги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956,0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2215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прочих товаров и услуг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940,5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текущий ремонт имущества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1190,0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2823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Исполнение решений суда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250,3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Машины и оборудование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1419,4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73707,0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36121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Фонд обязательного медицинского страхования (подведомственные учреждения)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139151,5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2111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Заработная плата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100199,4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Взносы/отчисления на социальные нужды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15148,4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служебные поездки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5906,4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Услуги связи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465,6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2213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Арендная плата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2770,6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2214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Транспортные услуги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3083,4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2215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прочих товаров и услуг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2535,7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текущий ремонт имущества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1474,0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2655,0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2224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угля и других видов топлива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2226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оплату услуг банков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12,4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2231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Коммунальные услуги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1237,6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Здания и сооружения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Машины и оборудование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2003,0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139151,5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36131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Фонд обязательного медицинского страхования - Единый плательщик (подведомственные учреждения здравоохранения)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404876,7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404876,7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404876,7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36141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Фонд обязательного медицинского страхования - Единый плательщик (подведомственные учреждения здравоохранения)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22171004,2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22171004,2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22171004,2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36210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Фонд обязательного медицинского страхования (государственные программы, мероприятия и выплаты)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1832578,4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1832578,4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1832578,4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36220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Фонд обязательного медицинского страхования (улучшение технического оснащения и внедрение новейших технологий в области медицины)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6830,0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6830,0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6830,0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36230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(аппарат)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23580,7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Услуги связи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320,5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2215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прочих товаров и услуг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6429,2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текущий ремонт имущества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361,0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2226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оплату услуг банков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2900,0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Машины и оборудование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3830,0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3113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Другие основные фонды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9520,0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23580,7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36230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(подведомственные учреждения)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4581,2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Услуги связи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477,2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2215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прочих товаров и услуг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287,2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текущий ремонт имущества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367,6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435,7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Машины и оборудование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3013,5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4581,2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36240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Фонд обязательного медицинского страхования (изготовление полисов ОМС и рецептурных бланков)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500,0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2215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прочих товаров и услуг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500,0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36310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Фонд обязательного медицинского страхования (страховой запас)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295129,8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295129,8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295129,8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РАСХОДОВ: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24951939,5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2111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Заработная плата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152831,9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Взносы/отчисления на социальные нужды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23066,6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служебные поездки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8906,4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Услуги связи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1923,4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2213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Арендная плата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7490,6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2214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Транспортные услуги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4039,4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2215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прочих товаров и услуг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10192,6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24710919,1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текущий ремонт имущества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2081,6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4641,7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2224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угля и других видов топлива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2226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оплату услуг банков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2912,4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2231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Коммунальные услуги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1237,6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2823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Исполнение решений суда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250,3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 операционные расходы: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24930653,6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3111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Здания и сооружения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3112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Машины и оборудование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10265,9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3113</w:t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Другие основные фонды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9520,0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 нефинансовые активы: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21285,9</w:t>
            </w:r>
          </w:p>
        </w:tc>
      </w:tr>
      <w:tr>
        <w:tc>
          <w:tcPr>
            <w:tcW w:type="dxa" w:w="5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 РАСХОДОВ: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24951939,5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m6bhnz6kvclqv327ib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Фонда обязательного медицинского страхования при Министерстве здравоохранения Кыргызской Республики на 2022 год и прогнозе на 2023-2024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Министерстве здравоохранения Кыргызской Республики на 2022 год - Расходы
 </w:t>
      </w:r>
      <w:r>
        <w:rPr>
          <w:rFonts w:ascii="Arial" w:cs="Arial" w:eastAsia="Arial" w:hAnsi="Arial"/>
          <w:sz w:val="24"/>
          <w:szCs w:val="24"/>
        </w:rPr>
        <w:t xml:space="preserve">(по функциональной классификации)</w:t>
      </w:r>
    </w:p>
    <w:p>
      <w:pPr>
        <w:spacing w:after="60"/>
        <w:jc w:val="right"/>
      </w:pPr>
      <w:r>
        <w:rPr>
          <w:rFonts w:ascii="Arial" w:cs="Arial" w:eastAsia="Arial" w:hAnsi="Arial"/>
          <w:sz w:val="20"/>
          <w:szCs w:val="20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8513"/>
        <w:gridCol w:w="1050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Код</w:t>
            </w:r>
          </w:p>
        </w:tc>
        <w:tc>
          <w:tcPr>
            <w:tcW w:type="dxa" w:w="8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показателей (по функциям)</w:t>
            </w:r>
          </w:p>
        </w:tc>
        <w:tc>
          <w:tcPr>
            <w:tcW w:type="dxa" w:w="1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2022 год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Фонд обязательного медицинского страхования - Единый плательщик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24951939,5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428956,3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70711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428956,3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428956,3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льготное лекарственное обеспечение по Программе государственных гарантий по обеспечению граждан медико-санитарной помощью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52000,0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льготное лекарственное обеспечение по обязательному медицинскому страхованию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376956,3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7072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Амбулаторные услуги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14446363,0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70721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Медицинские услуги общего профиля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12818149,2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12818149,2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70722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Специализированные медицинские услуги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1407937,6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1407937,6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70723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Стоматологические услуги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220276,2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220276,2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7073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Услуги больниц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8752096,8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70731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Услуги больниц общего профиля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4565089,9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4565089,9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70732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Услуги специализированных больниц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2589711,2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2589711,2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70733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Услуги медицинских центров, гинекологических больниц и родильных домов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451219,2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451219,2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70735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Услуги больниц и центров восстановительного лечения для детей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1146076,5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1146076,5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7074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Услуги в области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260284,6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70741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Станции скорой и неотложной помощи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260284,6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260284,6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7075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258705,2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70751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258705,2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258705,2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608289,0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70761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608289,0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2111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Заработная плата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152831,9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2121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Взносы/отчисления на социальные нужды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23066,6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служебные поездки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8906,4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2212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Услуги связи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1923,4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2213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Арендная плата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7490,6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2214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Транспортные услуги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4039,4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2215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прочих товаров и услуг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10192,6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367268,6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текущий ремонт имущества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2081,6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2222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4641,7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2224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Приобретение угля и других видов топлива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2226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 на оплату услуг банков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2912,4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2231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Коммунальные услуги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1237,6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2823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Исполнение решений суда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250,3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3111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Здания и сооружения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1500,0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3112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Машины и оборудование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10265,9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3113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Другие основные фонды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9520,0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70769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Другие услуги в области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197244,6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2216</w:t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Расходы, представленные единой статьей в системе здравоохранения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197244,6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1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24951939,5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t0kvfbxaqwn5afvbif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
 к Закону Кыргызской Республики "О бюджете Фонда обязательного медицинского страхования при Министерстве здравоохранения Кыргызской Республики на 2022 год и прогнозе на 2023-2024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БЮДЖЕТ
 Фонда обязательного медицинского страхования при Министерстве здравоохранения Кыргызской Республики на 2022-2025 годы на программной основе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2"/>
        <w:gridCol w:w="324"/>
        <w:gridCol w:w="2174"/>
        <w:gridCol w:w="668"/>
        <w:gridCol w:w="668"/>
        <w:gridCol w:w="668"/>
        <w:gridCol w:w="668"/>
        <w:gridCol w:w="1942"/>
        <w:gridCol w:w="710"/>
        <w:gridCol w:w="602"/>
        <w:gridCol w:w="478"/>
        <w:gridCol w:w="478"/>
        <w:gridCol w:w="478"/>
      </w:tblGrid>
      <w:tr>
        <w:tc>
          <w:tcPr>
            <w:tcW w:type="dxa" w:w="32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Код ПР</w:t>
            </w:r>
          </w:p>
        </w:tc>
        <w:tc>
          <w:tcPr>
            <w:tcW w:type="dxa" w:w="3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Код МЕ</w:t>
            </w:r>
          </w:p>
        </w:tc>
        <w:tc>
          <w:tcPr>
            <w:tcW w:type="dxa" w:w="21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Бюджетные программы/Бюджетные меры</w:t>
            </w:r>
          </w:p>
        </w:tc>
        <w:tc>
          <w:tcPr>
            <w:tcW w:type="dxa" w:w="267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Индикатор результативности</w:t>
            </w:r>
          </w:p>
        </w:tc>
        <w:tc>
          <w:tcPr>
            <w:tcW w:type="dxa" w:w="7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Ед. измерения</w:t>
            </w:r>
          </w:p>
        </w:tc>
        <w:tc>
          <w:tcPr>
            <w:tcW w:type="dxa" w:w="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Базовый год</w:t>
            </w:r>
          </w:p>
        </w:tc>
        <w:tc>
          <w:tcPr>
            <w:tcW w:type="dxa" w:w="143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Целевые значения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2022 год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2023 год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2024 год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2025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2023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2024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2025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001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Программа 1. Управление и администрирование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Цели программы: институциональное усиление Фонда обязательного медицинского страхования при Министерстве здравоохранения Кыргызской Республики (далее - Фонд ОМС) в качестве Единого плательщика. Координирующее и организационное воздействие на реализацию других программ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Охват населения обязательным медицинским страхованием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001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Управление и администрирование отрасли на центральном уровне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97787,7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120136,3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120136,3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120136,3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Уровень исполнения индикаторов Плана реализации Стратегии развития Фонда ОМС на 2019-2023 годы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95,0%</w:t>
            </w:r>
          </w:p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001</w:t>
            </w:r>
          </w:p>
        </w:tc>
        <w:tc>
          <w:tcPr>
            <w:tcW w:type="dxa" w:w="3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</w:t>
            </w:r>
          </w:p>
        </w:tc>
        <w:tc>
          <w:tcPr>
            <w:tcW w:type="dxa" w:w="21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Администрирование на региональном уровне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143732,7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165013,7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165013,7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165013,7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Средний показатель Индекса доверия населения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Уровень исполнения индикаторов договоров с поставщиками медицинских услуг по Программе государственных гарантий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 по Программе 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241520,4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285150,0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285150,0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285150,0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002</w:t>
            </w:r>
          </w:p>
        </w:tc>
        <w:tc>
          <w:tcPr>
            <w:tcW w:type="dxa" w:w="3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6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Программа 2. Предоставление услуг первичной медико-санитарной помощи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Цели программы: раннее выявление и диагностика заболеваний, повышение качества и эффективности предоставления медицинской и профилактической помощи на уровне первичной медико-санитарной помощи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расходов на первичную медико-санитарную помощь в общих расходах по другим программам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41,5%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43,5%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посещений к врачам групп семейных врачей на 1 жителя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Уровень удовлетворенности пациентов (по оценочной карте)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81,0%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002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доступности экстренной (скорой) медицинской помощи населению республики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466089,2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500000,0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соответствия количества фактически функционирующих бригад скорой медицинской помощи к утвержденному количеству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002</w:t>
            </w:r>
          </w:p>
        </w:tc>
        <w:tc>
          <w:tcPr>
            <w:tcW w:type="dxa" w:w="3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</w:t>
            </w:r>
          </w:p>
        </w:tc>
        <w:tc>
          <w:tcPr>
            <w:tcW w:type="dxa" w:w="21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доступности базовых медицинских услуг на уровне первичной медико-санитарной помощи населению республики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3783570,0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4518622,0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4672156,8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4815683,7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новорожденных, обслуженных семейным врачом (врачом общей практики) в первые 3 дня после выписки из родильного дома, %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женщин, вставших на учет по беременности в сроке до 12 недель, %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беременных женщин, получивших базовый пакет антенатальных услуг на уровне первичной медико-санитарной помощи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85%</w:t>
            </w:r>
          </w:p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002</w:t>
            </w:r>
          </w:p>
        </w:tc>
        <w:tc>
          <w:tcPr>
            <w:tcW w:type="dxa" w:w="3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03</w:t>
            </w:r>
          </w:p>
        </w:tc>
        <w:tc>
          <w:tcPr>
            <w:tcW w:type="dxa" w:w="21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доступности стоматологической помощи населению в рамках Программы государственных гарантий по обеспечению граждан медико-санитарной помощью (далее - Программа государственных гарантий)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286710,1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300000,0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300000,0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300000,0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Охват беременных женщин, вставших на учет по беременности, профилактическими осмотрами у стоматолога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абс. ч.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72500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72500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72500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72500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санированных беременных женщин, вставших на учет по беременности, из числа выявленных при профилактическом осмотре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детей до 10 лет, прошедших профилактический осмотр, из числа организованной группы (школы, детсады)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детей до 10 лет, прошедших санацию полости рта, из числа выявленных при профилактическом осмотре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002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04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доступности медицинской помощи по борьбе с туберкулезом, оказываемой организациями первичной медико-санитарной помощи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26880,4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27168,0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27168,0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27168,0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случаев туберкулеза с успешным завершением лечения на амбулаторном уровне в пилотных организациях здравоохранения первичной медико-санитарной помощи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2292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1835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1900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1950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002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05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доступа населения республики к льготному лекарственному обеспечению по Программе государственных гарантий (онкологическим больным в терминальной стадии; больным параноидной шизофренией и хроническими бредовыми расстройствами; аффективными расстройствами различного генеза; больным эпилепсией; больным бронхиальной астмой)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70000,0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Уровень возмещения реализованных лекарств по рецептам Программы государственных гарантий на амбулаторном уровне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002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06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доступа застрахованного населения республики к льготному лекарственному обеспечению по обязательному медицинскому страхованию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376956,3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466770,1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536785,6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617303,5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Уровень возмещения реализованных лекарств по рецептам обязательного медицинского страхования на амбулаторном уровне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002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Оказание населению платных медицинских услуг сверх объема Программы государственных гарантий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211503,3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209440,2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230384,2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253422,6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фактического исполнения к утвержденному плану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002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08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311582,4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293990,1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323389,1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355728,0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фактического исполнения к утвержденному плану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002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09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Улучшение качества предоставления медицинской помощи населению путем стимулирования групп семейных врачей за достижение целевых показателей качества деятельности (мероприятия Программы, ориентированной на результат)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197244,6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389350,0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543440,0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380000,0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организаций здравоохранения первичной медико-санитарной помощи, которым были произведены выплаты по результатам оценки качества с использованием оценочной карты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002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материального стимулирования работников системы здравоохранения путем повышения оплаты труда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3127353,7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3764589,7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3764589,7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3764589,7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освоения средств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002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доступности специализированной психиатрической помощи, оказываемой организациями первичной медико-санитарной помощи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5316,0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8064,0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8064,0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8064,0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управляемых случаев психических расстройств на амбулаторном уровне в пилотных организациях здравоохранения первичной медико-санитарной помощи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ед.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1324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714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714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714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 по Программе 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8845206,0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10547994,1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10975977,4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11091959,5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3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6"/>
            <w:gridSpan w:val="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Программа 3. Предоставление услуг организациями здравоохранения на стационарном уровне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Цель программы: повышение качества и эффективности предоставления гарантированной медицинской помощи на стационарном уровне в рамках Программы государственных гарантий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Уровень госпитализаций на 100 тыс. населения</w:t>
            </w:r>
          </w:p>
        </w:tc>
        <w:tc>
          <w:tcPr>
            <w:tcW w:type="dxa" w:w="71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13,4%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13,4%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13,2%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13,2%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5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Уровень удовлетворенности (по оценочной карте)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82,0%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83,0%</w:t>
            </w:r>
          </w:p>
        </w:tc>
      </w:tr>
      <w:tr>
        <w:tc>
          <w:tcPr>
            <w:tcW w:type="dxa" w:w="3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3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</w:t>
            </w:r>
          </w:p>
        </w:tc>
        <w:tc>
          <w:tcPr>
            <w:tcW w:type="dxa" w:w="21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доступности медицинских услуг населению республики на уровне стационарной помощи в рамках Программы государственных гарантий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7267269,1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7970919,0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7306835,2</w:t>
            </w:r>
          </w:p>
        </w:tc>
        <w:tc>
          <w:tcPr>
            <w:tcW w:type="dxa" w:w="6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7530523,1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населения, получившего лечение по социальным льготам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детей, получивших лечение в отделениях краткосрочного пребывания, к общему количеству пролеченных детей в общепрофильных стационарах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населения, получивших льготное лечение по медицинским показаниям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доступности медицинской помощи по борьбе с туберкулезом, оказываемой организациями здравоохранения стационарного уровня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643834,7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699084,6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699084,6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699084,6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03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доступности медицинских услуг на уровне специализированной онкологической и гематологической помощи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273921,1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289238,0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289238,0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289238,0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107,0%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04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доступности медицинских услуг на уровне специализированной кардиохирургической помощи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51061,6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35000,0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05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доступности медицинских услуг на уровне специализированной психиатрической помощи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284751,1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303329,4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303329,4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303329,4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Соотношение фактически пролеченных случаев к плану базового года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06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Оказание населению платных медицинских услуг сверх объема Программы государственных гарантий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456250,8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373525,0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410877,5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451965,3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фактического исполнения к утвержденному плану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465926,7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360087,5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396096,3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435705,9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организаций здравоохранения стационарного уровня, в которых проведена оценка качества с использованием оценочной карты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абс. ч.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183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183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183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183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08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материального стимулирования работников системы здравоохранения путем повышения оплаты труда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4517788,2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5235410,3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5235410,3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5235410,3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Исполнения бюджета по целевым средствам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09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Мероприятия по проекту "Караван здоровья"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22400,0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освоения средств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Мероприятия по проекту Азиатского банка развития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95000,0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освоения средств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003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Мероприятия по проекту Всемирного банка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Процент освоения средств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 по Программе 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14098803,3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15330993,8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14675871,2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14980256,5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004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6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Программа 4. Обеспечение доступности медицинских и иных услуг, оказываемых населению сверх объема Программы государственных гарантий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Цели программы: повышение уровня удовлетворенности граждан посредством предоставления расширенного спектра услуг организациями здравоохранения независимо от формы собственности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Соотношение пациентов с терминальной стадией хронической почечной недостаточности, охваченных льготным гемодиализным лечением, к общему числу пациентов, состоящих на учете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004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01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доступа к льготному гемодиализному лечению остронуждающихся пациентов с терминальной стадией хронической почечной недостаточности пятой стадии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1421280,0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2230800,0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2230800,0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2230800,0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Количество пациентов с терминальной стадией хронической почечной недостаточности, получающих платное лечение в частных медицинских центрах и ожидающих перевода на полный бюджетный гемодиализ в государственных организациях здравоохранения, а также в целях сокращения бремени затрат пациентами при получении услуг гемодиализа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чел.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2274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2624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2624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2624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004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02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Обеспечение финансовой устойчивости и надлежащего функционирования организаций здравоохранения (формирование страхового запаса)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295129,8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325842,9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344637,2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364680,4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 обеспечения финансовой стабильности в объеме не менее месячного финансирования от общего объема средств, направляемых на финансирование медицинских и профилактических услуг, предоставляемых организациями здравоохранения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1,3%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004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03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Поддержка, развитие и материально-техническое оснащение организаций здравоохранения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60000,0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70000,0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Доля, направляемая на поддержку и развитие здравоохранения для организаций здравоохранения</w:t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%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0,2%</w:t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0,2%</w:t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004</w:t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 по Программе 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1766409,8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2606642,9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2635437,2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2665480,4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24951939,5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28770780,8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28572435,9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29022846,5</w:t>
            </w:r>
          </w:p>
        </w:tc>
        <w:tc>
          <w:tcPr>
            <w:tcW w:type="dxa" w:w="1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ПР - код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ME - код меры".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svag_sbkijbx07lxh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dalil.kg/document/112468</w:t>
      </w:r>
    </w:hyperlink>
  </w:p>
  <w:p>
    <w:pPr>
      <w:spacing w:after="0" w:before="40"/>
      <w:jc w:val="center"/>
    </w:pPr>
    <w:hyperlink w:history="1" r:id="rIdd8ywmum4uzlgqlilhyh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nhkgg7rlk16hsibquu7" Type="http://schemas.openxmlformats.org/officeDocument/2006/relationships/hyperlink" Target="https://dalil.kg/document/112364" TargetMode="External"/><Relationship Id="rIdjv310xoenpkw45rwheec6" Type="http://schemas.openxmlformats.org/officeDocument/2006/relationships/hyperlink" Target="https://dalil.kg/document/112364#st_1" TargetMode="External"/><Relationship Id="rIdnmbyjl6zlci8uokt9shtd" Type="http://schemas.openxmlformats.org/officeDocument/2006/relationships/hyperlink" Target="https://dalil.kg/document/112364#st_6" TargetMode="External"/><Relationship Id="rIdhehtpfge3agxl1ygqwruk" Type="http://schemas.openxmlformats.org/officeDocument/2006/relationships/hyperlink" Target="https://dalil.kg/document/112364#st_7" TargetMode="External"/><Relationship Id="rIdi_hhuem12gunh-uv5hryt" Type="http://schemas.openxmlformats.org/officeDocument/2006/relationships/hyperlink" Target="https://dalil.kg/document/112364#pr1" TargetMode="External"/><Relationship Id="rIdybsuztdjecdclwfdjbkew" Type="http://schemas.openxmlformats.org/officeDocument/2006/relationships/hyperlink" Target="https://dalil.kg/document/112364#pr3" TargetMode="External"/><Relationship Id="rIdraeh9dhcbwe6mw835euyt" Type="http://schemas.openxmlformats.org/officeDocument/2006/relationships/hyperlink" Target="https://dalil.kg/document/112364#pr6" TargetMode="External"/><Relationship Id="rIdwru2tbn32w7eiek6q7jk2" Type="http://schemas.openxmlformats.org/officeDocument/2006/relationships/hyperlink" Target="https://dalil.kg/document/112468#pr1" TargetMode="External"/><Relationship Id="rIdo5ksflsvvgrsgoagn376x" Type="http://schemas.openxmlformats.org/officeDocument/2006/relationships/hyperlink" Target="https://dalil.kg/document/112468#pr5" TargetMode="External"/><Relationship Id="rIdr043ht7wkmb3tn5pvru6-" Type="http://schemas.openxmlformats.org/officeDocument/2006/relationships/hyperlink" Target="https://dalil.kg/document/112364#pr1" TargetMode="External"/><Relationship Id="rIdoddwjhtuafpwgxtpukadk" Type="http://schemas.openxmlformats.org/officeDocument/2006/relationships/hyperlink" Target="https://dalil.kg/document/112364#pr3" TargetMode="External"/><Relationship Id="rIdid5ukjazcqiytapwsldqr" Type="http://schemas.openxmlformats.org/officeDocument/2006/relationships/hyperlink" Target="https://dalil.kg/document/112364#pr4" TargetMode="External"/><Relationship Id="rIddm6bhnz6kvclqv327ib1_" Type="http://schemas.openxmlformats.org/officeDocument/2006/relationships/hyperlink" Target="https://dalil.kg/document/112364#pr5" TargetMode="External"/><Relationship Id="rIdst0kvfbxaqwn5afvbifr7" Type="http://schemas.openxmlformats.org/officeDocument/2006/relationships/hyperlink" Target="https://dalil.kg/document/112364#pr6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svag_sbkijbx07lxhij" Type="http://schemas.openxmlformats.org/officeDocument/2006/relationships/hyperlink" Target="https://dalil.kg/document/112468" TargetMode="External"/><Relationship Id="rIdd8ywmum4uzlgqlilhyh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2026-09-28T19:54:12.323Z</dcterms:created>
  <dcterms:modified xsi:type="dcterms:W3CDTF">2026-09-28T19:54:12.323Z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