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добровольной легализации и амнистии активов физических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eik0uuev_uxkpmzsox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и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легализацией активов физических лиц, в том числе без уплаты налоговых и таможенных платежей, взносов по социальному страхованию и иных обязательных платежей, освобождением от уголовной ответственности в виде предоставления государственной гарантии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Закона является привлечение имущества и доходов физических лиц в легальный экономический оборот путем создания правового механизма легализации посредством добровольного декларирования физическими лицами принадлежащих им активов, имеющихся по состоянию на 1 января 2023 года, в том числе номинально оформленных на других лиц и/или находящихся за пределами Кыргызской Республики, собственником или фактическим владельцем которых на дату представления специальной декларации является декларант; увеличение внутренних и внешних инвестиций в экономику Кыргызской Республики; уменьшение доли теневой экономики; обеспечение гарантий сохранности активов и защиты их владельцев от преследования со стороны государственных органов Кыргызской Республики за нарушения требований законодательства, которые могли иметь место до введения добровольного декларирования активов, предусмотренного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регулирует правоотношения, связанные с легализацией активов, которые получены и извлечены в результате совершения преступлений или правонарушений на территории иностранного государства и признаны таковыми на основании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0odk3pcmj2hhl2sqgy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</w:t>
      </w:r>
      <w:r>
        <w:rPr>
          <w:rFonts w:ascii="Arial" w:cs="Arial" w:eastAsia="Arial" w:hAnsi="Arial"/>
          <w:sz w:val="24"/>
          <w:szCs w:val="24"/>
        </w:rPr>
        <w:t xml:space="preserve">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ее пределами,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</w:t>
      </w:r>
      <w:r>
        <w:rPr>
          <w:rFonts w:ascii="Arial" w:cs="Arial" w:eastAsia="Arial" w:hAnsi="Arial"/>
          <w:sz w:val="24"/>
          <w:szCs w:val="24"/>
        </w:rPr>
        <w:t xml:space="preserve"> -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</w:t>
      </w:r>
      <w:r>
        <w:rPr>
          <w:rFonts w:ascii="Arial" w:cs="Arial" w:eastAsia="Arial" w:hAnsi="Arial"/>
          <w:sz w:val="24"/>
          <w:szCs w:val="24"/>
        </w:rPr>
        <w:t xml:space="preserve"> - субъект декларирования, обратившийся к уполномоченному должностному лицу для заверения специальной декларации в порядке, определенном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</w:t>
      </w:r>
      <w:r>
        <w:rPr>
          <w:rFonts w:ascii="Arial" w:cs="Arial" w:eastAsia="Arial" w:hAnsi="Arial"/>
          <w:sz w:val="24"/>
          <w:szCs w:val="24"/>
        </w:rPr>
        <w:t xml:space="preserve"> -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</w:t>
      </w:r>
      <w:r>
        <w:rPr>
          <w:rFonts w:ascii="Arial" w:cs="Arial" w:eastAsia="Arial" w:hAnsi="Arial"/>
          <w:sz w:val="24"/>
          <w:szCs w:val="24"/>
        </w:rPr>
        <w:t xml:space="preserve"> -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</w:t>
      </w:r>
      <w:r>
        <w:rPr>
          <w:rFonts w:ascii="Arial" w:cs="Arial" w:eastAsia="Arial" w:hAnsi="Arial"/>
          <w:sz w:val="24"/>
          <w:szCs w:val="24"/>
        </w:rPr>
        <w:t xml:space="preserve"> - период времени, предусмотренный настоящим Законом,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</w:t>
      </w:r>
      <w:r>
        <w:rPr>
          <w:rFonts w:ascii="Arial" w:cs="Arial" w:eastAsia="Arial" w:hAnsi="Arial"/>
          <w:sz w:val="24"/>
          <w:szCs w:val="24"/>
        </w:rPr>
        <w:t xml:space="preserve"> -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</w:t>
      </w:r>
      <w:r>
        <w:rPr>
          <w:rFonts w:ascii="Arial" w:cs="Arial" w:eastAsia="Arial" w:hAnsi="Arial"/>
          <w:sz w:val="24"/>
          <w:szCs w:val="24"/>
        </w:rPr>
        <w:t xml:space="preserve"> - совокупная сумма доходов и стоимости имущества, превышающая 100000000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</w:t>
      </w:r>
      <w:r>
        <w:rPr>
          <w:rFonts w:ascii="Arial" w:cs="Arial" w:eastAsia="Arial" w:hAnsi="Arial"/>
          <w:sz w:val="24"/>
          <w:szCs w:val="24"/>
        </w:rPr>
        <w:t xml:space="preserve"> - 1000000 сомов, единовременно уплачиваемых субъектами декларирования в соответствии с настоящим Законом независимо от суммы, превысившей декларационный порог;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</w:t>
      </w:r>
      <w:r>
        <w:rPr>
          <w:rFonts w:ascii="Arial" w:cs="Arial" w:eastAsia="Arial" w:hAnsi="Arial"/>
          <w:sz w:val="24"/>
          <w:szCs w:val="24"/>
        </w:rPr>
        <w:t xml:space="preserve"> - декларант, в интересах и/или по поручению которого номинальный владелец активов осуществляет права собственника (владельца)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гражданского, налогового законодательства Кыргызской Республики и других отраслей законодательства Кыргызской Республики, используемые в настоящем Законе, применяются в том значении, в каком используются в этих отраслях законодательства, если иное не предусмотрено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jhkuy9uxdvlglww4k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объекты декларирования (активы), имеющиеся по состоянию на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лиц, включенных в национальный и международный списки разыскиваемых лиц и санкционные перечни.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применяется в отношении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ограниченных в обороте или изъятых из оборота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которым в Кыргызской Республике или за ее пределами на момент введения в действие настоящего Закона действует вступившее в силу судебное решение об их аресте и конфискации или передачу другому лицу, а также активов, которые являются предметом уголовного и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Закона не препятствует выполнению международных и национальных требований в сфере противодействия финансированию террористической деятельности и легализации (отмыванию) преступных доходов, в том числе осуществлению международного и межведомственного сотрудничества в этой сфере.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и порядок проведения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декларирования вправе обратиться к уполномоченному должностному лицу, находящемуся в Кыргызской Республике и за ее пределами, для декларирования активов, имеющихся по состоянию на 1 января 2023 года, собственником или фактическим владельцем которых на дату заверения специальной декларации является декларант.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декларировании активов, сумма которых не превышает установленный настоящим Законом декларационный порог, декларационный платеж не взимается. В этом случае декларант оплачивает только государственную пошлину в размере, установленном Кабинетом Министров Кыргызской Республики за совершение данного вида нотариального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декларировании активов на сумму, превышающую декларационный порог, субъект декларирования производит оплату: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пошлины в размере, установленном Кабинетом Министров Кыргызской Республики за совершение данного вида нотариального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декларационного платежа, который переводится на аккумуляционный счет и зачисляется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активов декларирования определяется субъектом декларирования самостоятельно и проверке на предмет соответствия фактической стоимости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Декларирование активов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декларирования в срок, установленный статьей 5 настоящего Закона, обращается к уполномоченному должностному лицу для декларирования своих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уполномоченное должностное лицо при обращении декларанта выдает ему специальную декларацию и разъясняет порядок ее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декларирования заполняет специальную декларацию в единственном экземпляре и представляет ее для заверения уполномоченному должностному лицу с приложением документа, удостоверяющего личность, а также документа, подтверждающего оплату государственной пошлины. В случае, если стоимость активов превышает декларационный порог, декларант к специальной декларации дополнительно прилагает документ, подтверждающий оплату декларационного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уполномоченное должностное лицо в присутствии субъекта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проверяет соответствие персональных данных декларанта, указанных в специальной декларации с документом, удостоверяющим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удостоверяет подлинность его подписи в специальной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вносит в Реестр специальных деклараций об активах индивидуальный порядковый номер, дату заполнения специальной декларации и персональные данные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заверяет подпись декларанта в специальной декларации своей подписью и печатью и передает ее декларанту;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 день получения специальной декларации вправе получить также ее заверенную копию у уполномоченного должностного лица, заверившего специальную декларацию, без оставления копии у уполномоченного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Уполномоченное должностное лицо вправе отказать в заверении специальной декларации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с документом, удостоверяющим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настоящей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 санкционные перечни;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об активах, содержащиеся в специальной декларации, не вносятся в Реестр специальных деклараций об активах. Снятие копий со специальной декларации уполномоченным должностным лицом, другими государственными органами и их должностными лицами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заверенной специальной декларации декларант вправе заполнить новую специальную декларацию и представить уполномоченному должностному лицу в соответствии с порядком, установленным частью 5 настоящей статьи до истечения срока декларирования. Испорченная специальная декларация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специальной декларации, а также форма и порядок ведения Реестра специальных деклараций об активах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действия настоящего Закона уполномоченные государственные органы в пределах своих компетенций проводят информационно-разъяснительные мероприятия в целях повышения осведомленности участников декларирования и своевременной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lo7krauv8gv9v3cb_1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Срок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добровольного декларирования активов является период времени с 9 июня 2023 года по 31 декабря 2024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uxiblymlfig8zaefwn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гарантии, предоставляемые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официальное уничтожение всех деклараций (бумажный и электронный виды), поданных физическими лицами (за исключением индивидуальных предпринимателей) в уполномоченные государственные органы в подтверждение своего имущественного положения и доходов до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деклараций не отменяет начисленные по ней налоговые обязательства. Срок уничтожения деклараций - в течение 60 календарных дней со дня вступления в силу настоящего Закона. Налоговые органы фиксируют информацию по сальдо по налогам в течение 45 календарных дней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уничтожением единых налоговых деклараций ранее декларируемые активы могут включаться в специальную декларацию по усмотрению субъекта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проведения процедуры декларирования запрещается проведение проверок со стороны правоохранительных и фискальных органов в отношении декларанта и/или номинальных владельцев активов по вопросам приобретения, использования либо распоряжения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Декларант после проведения декларирования активов обязан до 31 января 2025 года произвести переоформление права собственности от номинальных владельцев активов на себя. Переоформление производится без уплаты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активов на декларанта осуществляется на основе договора о безвозмездной передаче в собственность декларируемого имущества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Декларирование активов, а также сведения, содержащиеся в специальной декларации, не могут быть использованы в качестве основания для возбуждения уголовного дела, производства по делу о правонарушении, дисциплинарного производства, начисления налоговых, таможенных и иных платежей в отношении декларанта и/или номинального владельца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Декларанты, а также номинальные владельцы активов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уголовной ответственности, если при приобретении, использовании либо распоряжении активами, указанными в специальной декларации, они совершили деяния, предусмотренные Уголовным </w:t>
      </w:r>
      <w:hyperlink w:history="1" r:id="rIdtsgxanhk8qqwwvjopfq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 терроризма и экстремизма, финансирования террористической и экстремисткой деятельности, извлечения доходов вследствие осуществления торговли людьми, незаконного оборота наркотических средств, торговли оружием, а также совершения преступлений против личности и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ответственности за правонарушения, если при приобретении, использовании либо распоряжении активами, указанными в специальной декларации, они совершили правонарушения, предусмотренные </w:t>
      </w:r>
      <w:hyperlink w:history="1" r:id="rIddboiab1engpdkz_5cum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дисциплинарной ответственности, предусмотренной трудовым и иным законодательством, если при приобретении, использовании либо распоряжении активами, указанными в специальной декларации, они совершили нарушения законодательства, влекущие дисциплинарную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уплаты налоговых, таможенных и иных платежей, предусмотренных законодательством Кыргызской Республики, а также от ответственности за соответствующие правонарушения при условии, если эти нарушения связаны с приобретением, использованием либо распоряжением активами, указанными в специальной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Факт декларирования активов, а также сведения, содержащиеся в специальной декларации, не могут быть использованы в качестве доказательства в рамках уголовного дела, дела о правонарушении с участием декларанта и/или номинального владельца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освобождается от обязанности предоставления информации об источниках происхождения своих активов при декларировании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государственных органов представленная декларантом специальная декларация является документом, подтверждающим факт декларирования активов, указанных в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декларанте и информация, содержащиеся в специальной декларации, признаются тайной декларанта и не подлежат разглашению. Разглашение информации, содержащейся в специальной декларации, возможно только по добровольному волеизъявлению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Гарантии, установленные настоящей статьей, действуют, если в отношении декларанта и/или номинального владельца активов на дату декларирования не ведется уголовное или гражданское судопроизводство, касающееся законности приобретения, использования либо распоряжения декларируемыми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Гарантии, установленные настоящей статьей, действуют в отношении декларанта и/или номинального владельца активов со дня декларирования им своих активов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использовать против субъекта декларирования нормы законодательства, противоречащие настоящему Закону. Не подлежат пересмотру гарантии, установленные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4df61wdlxllrs8idpa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государственных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их должностные лица за нарушение установленных настоящим Законом государственных гарантий несут уголовную и/или иную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2023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двухнедельный срок со дня вступления в силу настоящего Закона принять решения, необходимые для реализации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предусмотреть в республиканском бюджете Кыргызской Республики средства для проведения информационно-разъяснительных мероприятий по добровольному декларированию активов физических лиц и реализации положений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ik0uuev_uxkpmzsoxrv" Type="http://schemas.openxmlformats.org/officeDocument/2006/relationships/hyperlink" Target="http://kodeks.duckdns.org/document/230009235" TargetMode="External"/><Relationship Id="rIdq0odk3pcmj2hhl2sqgyhv" Type="http://schemas.openxmlformats.org/officeDocument/2006/relationships/hyperlink" Target="http://kodeks.duckdns.org/document/230009235" TargetMode="External"/><Relationship Id="rIdcjhkuy9uxdvlglww4kroz" Type="http://schemas.openxmlformats.org/officeDocument/2006/relationships/hyperlink" Target="http://kodeks.duckdns.org/document/230009235" TargetMode="External"/><Relationship Id="rIdzlo7krauv8gv9v3cb_1f8" Type="http://schemas.openxmlformats.org/officeDocument/2006/relationships/hyperlink" Target="http://kodeks.duckdns.org/document/230009235" TargetMode="External"/><Relationship Id="rIdcuxiblymlfig8zaefwni_" Type="http://schemas.openxmlformats.org/officeDocument/2006/relationships/hyperlink" Target="http://kodeks.duckdns.org/document/230009235" TargetMode="External"/><Relationship Id="rIdtsgxanhk8qqwwvjopfq28" Type="http://schemas.openxmlformats.org/officeDocument/2006/relationships/hyperlink" Target="http://kodeks.duckdns.org/document/112309" TargetMode="External"/><Relationship Id="rIddboiab1engpdkz_5cum1u" Type="http://schemas.openxmlformats.org/officeDocument/2006/relationships/hyperlink" Target="http://kodeks.duckdns.org/document/112306" TargetMode="External"/><Relationship Id="rIdx4df61wdlxllrs8idpaui" Type="http://schemas.openxmlformats.org/officeDocument/2006/relationships/hyperlink" Target="http://kodeks.duckdns.org/document/23000923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2026-09-22T23:46:39.390Z</dcterms:created>
  <dcterms:modified xsi:type="dcterms:W3CDTF">2026-09-22T23:46:39.390Z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