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г.Бишкекот 15 января 2003 года №7                                              ЗАКОН КЫРГЫЗСКОЙ РЕСПУБЛИКИ           О присоединении Кыргызской Республики к конвенции,                 устанавливающий единообразный закон                   о переводном и простом векселях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0"/>
          <w:szCs w:val="20"/>
        </w:rPr>
        <w:t xml:space="preserve">(В редакции Закона КР от </w:t>
      </w:r>
      <w:hyperlink w:history="1" r:id="rIdd1l0ax7mmpqkhiymrgiu5">
        <w:r>
          <w:rPr>
            <w:rFonts w:ascii="Arial" w:cs="Arial" w:eastAsia="Arial" w:hAnsi="Arial"/>
            <w:i/>
            <w:iCs/>
            <w:color w:val="1D4ED8"/>
            <w:sz w:val="20"/>
            <w:szCs w:val="20"/>
            <w:u w:val="single"/>
          </w:rPr>
          <w:t xml:space="preserve">23 апреля 2026 года № 55</w:t>
        </w:r>
      </w:hyperlink>
      <w:r>
        <w:rPr>
          <w:rFonts w:ascii="Arial" w:cs="Arial" w:eastAsia="Arial" w:hAnsi="Arial"/>
          <w:i/>
          <w:iCs/>
          <w:sz w:val="20"/>
          <w:szCs w:val="20"/>
        </w:rPr>
        <w:t xml:space="preserve">)</w:t>
      </w:r>
    </w:p>
    <w:p>
      <w:r>
        <w:rPr>
          <w:rFonts w:ascii="Arial" w:cs="Arial" w:eastAsia="Arial" w:hAnsi="Arial"/>
          <w:sz w:val="24"/>
          <w:szCs w:val="24"/>
        </w:rPr>
        <w:t xml:space="preserve">Принят Законодательным собранием     Жогорку Кенеша Кыргызской Республики        25 октября 2002 года      Одобрен Собранием народных представителей     Жогорку Кенеша Кыргызской Республики        9 декабря 2002 года       Статья 1.    Присоединиться    к</w:t>
      </w:r>
    </w:p>
    <w:p>
      <w:r>
        <w:rPr>
          <w:rFonts w:ascii="Arial" w:cs="Arial" w:eastAsia="Arial" w:hAnsi="Arial"/>
          <w:sz w:val="24"/>
          <w:szCs w:val="24"/>
        </w:rPr>
        <w:t xml:space="preserve">Конвенции,</w:t>
      </w:r>
    </w:p>
    <w:p>
      <w:r>
        <w:rPr>
          <w:rFonts w:ascii="Arial" w:cs="Arial" w:eastAsia="Arial" w:hAnsi="Arial"/>
          <w:sz w:val="24"/>
          <w:szCs w:val="24"/>
        </w:rPr>
        <w:t xml:space="preserve">устанавливающейЕдинообразный  закон о переводном и простом векселях,  принятой 7 июня1930 года в городе Женева с оговорками,  предусмотренными в Приложениик настоящему Закону.     Статья 2.  Министерству  иностранных  дел  Кыргызской  Республикипринять  необходимые меры,  связанные с присоединением к Конвенции,  всоответствии с законодательством Кыргызской Республики и Приложением IКонвенции.     Статья 3.   Настоящий   Закон   вступает   в   силу   с   моментаопубликования.              Президент     Кыргызской Республики                                   А.Акаев                                    Приложение к Закону Кыргызской Республики                 "О присоединении Кыргызской Республики           к Конвенции, устанавливающей Единообразный закон                    о переводном и простом векселях"                      от 15 января 2003 года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0"/>
          <w:szCs w:val="20"/>
        </w:rPr>
        <w:t xml:space="preserve">(В редакции Закона КР от </w:t>
      </w:r>
      <w:hyperlink w:history="1" r:id="rIdqlfqsdct5iapnevgjbnxd">
        <w:r>
          <w:rPr>
            <w:rFonts w:ascii="Arial" w:cs="Arial" w:eastAsia="Arial" w:hAnsi="Arial"/>
            <w:i/>
            <w:iCs/>
            <w:color w:val="1D4ED8"/>
            <w:sz w:val="20"/>
            <w:szCs w:val="20"/>
            <w:u w:val="single"/>
          </w:rPr>
          <w:t xml:space="preserve">23 апреля 2026 года № 55</w:t>
        </w:r>
      </w:hyperlink>
      <w:r>
        <w:rPr>
          <w:rFonts w:ascii="Arial" w:cs="Arial" w:eastAsia="Arial" w:hAnsi="Arial"/>
          <w:i/>
          <w:iCs/>
          <w:sz w:val="20"/>
          <w:szCs w:val="20"/>
        </w:rPr>
        <w:t xml:space="preserve">)</w:t>
      </w:r>
    </w:p>
    <w:p>
      <w:r>
        <w:rPr>
          <w:rFonts w:ascii="Arial" w:cs="Arial" w:eastAsia="Arial" w:hAnsi="Arial"/>
          <w:sz w:val="24"/>
          <w:szCs w:val="24"/>
        </w:rPr>
        <w:t xml:space="preserve">Настоящее Приложение  предусматривает  оговорки  в соответствии сПриложением II Конвенции.      Статья 1.  Физические и юридические  лица  Кыргызской  Республикивправе брать на себя обязательства по переводному и простому векселю.     Органы, входящие  в  структуру   исполнительной   власти,   могутобязываться   по   векселю   в   случаях  и  порядке,  предусмотренныхзаконодательством Кыргызской Республики.</w:t>
      </w:r>
    </w:p>
    <w:p>
      <w:pPr>
        <w:spacing w:after="120"/>
        <w:ind w:firstLine="567"/>
        <w:jc w:val="both"/>
      </w:pPr>
      <w:r>
        <w:rPr>
          <w:rFonts w:ascii="Arial" w:cs="Arial" w:eastAsia="Arial" w:hAnsi="Arial"/>
          <w:sz w:val="20"/>
          <w:szCs w:val="20"/>
        </w:rPr>
        <w:t xml:space="preserve">Статья 2.  </w:t>
      </w:r>
      <w:r>
        <w:rPr>
          <w:rFonts w:ascii="Arial" w:cs="Arial" w:eastAsia="Arial" w:hAnsi="Arial"/>
          <w:sz w:val="20"/>
          <w:szCs w:val="20"/>
        </w:rPr>
        <w:t xml:space="preserve">Вексель должен быть составлен на бумаге </w:t>
      </w:r>
    </w:p>
    <w:p>
      <w:pPr>
        <w:spacing w:after="120"/>
        <w:jc w:val="both"/>
      </w:pPr>
      <w:r>
        <w:rPr>
          <w:rFonts w:ascii="Arial" w:cs="Arial" w:eastAsia="Arial" w:hAnsi="Arial"/>
          <w:sz w:val="20"/>
          <w:szCs w:val="20"/>
        </w:rPr>
        <w:t xml:space="preserve">(бумажном носителе) или в электронной форме при соблюдении требований, </w:t>
      </w:r>
    </w:p>
    <w:p>
      <w:pPr>
        <w:spacing w:after="120"/>
        <w:jc w:val="both"/>
      </w:pPr>
      <w:r>
        <w:rPr>
          <w:rFonts w:ascii="Arial" w:cs="Arial" w:eastAsia="Arial" w:hAnsi="Arial"/>
          <w:sz w:val="20"/>
          <w:szCs w:val="20"/>
        </w:rPr>
        <w:t xml:space="preserve">установленных законодательством Кыргызской Республики, </w:t>
      </w:r>
    </w:p>
    <w:p>
      <w:pPr>
        <w:spacing w:after="120"/>
        <w:jc w:val="both"/>
      </w:pPr>
      <w:r>
        <w:rPr>
          <w:rFonts w:ascii="Arial" w:cs="Arial" w:eastAsia="Arial" w:hAnsi="Arial"/>
          <w:sz w:val="20"/>
          <w:szCs w:val="20"/>
        </w:rPr>
        <w:t xml:space="preserve">с использованием цифровой подписи.</w:t>
      </w:r>
    </w:p>
    <w:p>
      <w:pPr>
        <w:spacing w:after="120"/>
        <w:ind w:firstLine="567"/>
        <w:jc w:val="both"/>
      </w:pPr>
      <w:r>
        <w:rPr>
          <w:rFonts w:ascii="Arial" w:cs="Arial" w:eastAsia="Arial" w:hAnsi="Arial"/>
          <w:i/>
          <w:iCs/>
          <w:sz w:val="20"/>
          <w:szCs w:val="20"/>
        </w:rPr>
        <w:t xml:space="preserve">(В редакции Закона КР от </w:t>
      </w:r>
      <w:hyperlink w:history="1" r:id="rIdizilr4qtabsqsaqbjkd5w">
        <w:r>
          <w:rPr>
            <w:rFonts w:ascii="Arial" w:cs="Arial" w:eastAsia="Arial" w:hAnsi="Arial"/>
            <w:i/>
            <w:iCs/>
            <w:color w:val="1D4ED8"/>
            <w:sz w:val="20"/>
            <w:szCs w:val="20"/>
            <w:u w:val="single"/>
          </w:rPr>
          <w:t xml:space="preserve">23 апреля 2026 года № 55</w:t>
        </w:r>
      </w:hyperlink>
      <w:r>
        <w:rPr>
          <w:rFonts w:ascii="Arial" w:cs="Arial" w:eastAsia="Arial" w:hAnsi="Arial"/>
          <w:i/>
          <w:iCs/>
          <w:sz w:val="20"/>
          <w:szCs w:val="20"/>
        </w:rPr>
        <w:t xml:space="preserve">)</w:t>
      </w:r>
    </w:p>
    <w:p>
      <w:r>
        <w:rPr>
          <w:rFonts w:ascii="Arial" w:cs="Arial" w:eastAsia="Arial" w:hAnsi="Arial"/>
          <w:sz w:val="24"/>
          <w:szCs w:val="24"/>
        </w:rPr>
        <w:t xml:space="preserve">Статья 3.  Под  расчетными  палатами,  предусмотренными  в абзацевтором    статьи    38    Приложения    I    Конвенции,     понимаютсяфинансово-кредитные  учреждения,  имеющие лицензию Национального банкаКыргызской  Республики  на   проведение   операций   по   обслуживаниюбанковских счетов.     Статья 4. Согласно статье 7 Приложения II Конвенции в отступлениеот  условия,  предусмотренного  абзацем третьим статьи 41 Приложения IКонвенции,  установить,  что вексель может  быть  выписан  и  подлежитоплате в иностранной валюте в случае, если в указанном в векселе местеплатежа  возможна  оплата  векселя  в  валюте,  указанной  в  нем,   всоответствии  с  действующим законодательством государства,  в которомбудет произведена оплата.     Статья 5. В отступление от статей 48 и 49 Приложения I Конвенции,согласно статьям 13 и 14 Приложения II Конвенции, в отношении векселя,выставленного  к  оплате и подлежащего оплате на территории КыргызскойРеспублики,  установить,  что проценты должны выплачиваться в  размереучетной   ставки,   устанавливаемой   Национальным  банком  КыргызскойРеспублики,  если   иное   не   оговорено   международным   договором,заключенным   и  ратифицированным  в  установленном  законодательствомпорядке.     Статья 6.   На   основании  статьи  16  Приложения  II  Конвенцииустановить,  что векселедатель по переводному векселю  обязан  создатьрезерв,  необходимый для возможного погашения обязательства по векселюк сроку платежа.     Статья 7.  Согласно статье 17 Приложения II Конвенции установить,что в отношении определения оснований перерыва и приостановки  исковойдавности  по  векселю  применяются положения первой части Гражданскогокодекса Кыргызской Республики.     Статья 8. Применяя статью 19 Приложения II Конвенции, установить,что  наименование  простого  векселя  должно  включать  в  себя  слова"простой вексель".     Статья 9.  Все  оговорки,  предусмотренные  в  настоящем  Законе,равным образом применяются и к простым векселям.</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aebgiccsnv3a8igwagat">
      <w:r>
        <w:rPr>
          <w:rFonts w:ascii="Arial" w:cs="Arial" w:eastAsia="Arial" w:hAnsi="Arial"/>
          <w:color w:val="132D3F"/>
          <w:sz w:val="16"/>
          <w:szCs w:val="16"/>
          <w:u w:val="single"/>
        </w:rPr>
        <w:t xml:space="preserve">dalil.kg/document/1131</w:t>
      </w:r>
    </w:hyperlink>
  </w:p>
  <w:p>
    <w:pPr>
      <w:spacing w:after="0" w:before="40"/>
      <w:jc w:val="center"/>
    </w:pPr>
    <w:hyperlink w:history="1" r:id="rId7wzaoc-njbprkpz6orop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1l0ax7mmpqkhiymrgiu5" Type="http://schemas.openxmlformats.org/officeDocument/2006/relationships/hyperlink" Target="https://dalil.kg/document/230045086" TargetMode="External"/><Relationship Id="rIdqlfqsdct5iapnevgjbnxd" Type="http://schemas.openxmlformats.org/officeDocument/2006/relationships/hyperlink" Target="https://dalil.kg/document/230045086" TargetMode="External"/><Relationship Id="rIdizilr4qtabsqsaqbjkd5w" Type="http://schemas.openxmlformats.org/officeDocument/2006/relationships/hyperlink" Target="https://dalil.kg/document/230045086"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aebgiccsnv3a8igwagat" Type="http://schemas.openxmlformats.org/officeDocument/2006/relationships/hyperlink" Target="https://dalil.kg/document/1131" TargetMode="External"/><Relationship Id="rId7wzaoc-njbprkpz6orop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2026-09-26T00:11:55.904Z</dcterms:created>
  <dcterms:modified xsi:type="dcterms:W3CDTF">2026-09-26T00:11:55.904Z</dcterms:modified>
</cp:coreProperties>
</file>

<file path=docProps/custom.xml><?xml version="1.0" encoding="utf-8"?>
<Properties xmlns="http://schemas.openxmlformats.org/officeDocument/2006/custom-properties" xmlns:vt="http://schemas.openxmlformats.org/officeDocument/2006/docPropsVTypes"/>
</file>