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qs0p7hag8qtfdr89ws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cmxkdvue_yjmrbwir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wf3mywg-hgqxrfxt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pnpnw6zbinhnrhvjn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4ejipw1dkobeyl9qi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tw0ghoblc7g5dsd13e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3.15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3.15.6.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"3.15.6. На основании письменного запроса кредитора администратор обязан сообщать о ходе осуществления процедуры банкротства и финансовом состоянии должника не позднее десяти рабочих дней с момента получения такого запроса.";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4.17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4.17.2-1.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"4.17.2-1. Собрание кредиторов вправе дать согласие внешнему управляющему на получение необеспеченных залогом кредитов для осуществления хозяйственной деятельности и плана реабилитации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внешний управляющий не смог получить необеспеченный залогом кредит, суд при согласии собрания кредиторов выдает разрешение внешнему управляющему на получение кредита обеспеченного имуществом должника, которое не является предметом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6.6.2. </w:t>
      </w:r>
      <w:r>
        <w:rPr>
          <w:rFonts w:ascii="Arial" w:cs="Arial" w:eastAsia="Arial" w:hAnsi="Arial"/>
          <w:sz w:val="24"/>
          <w:szCs w:val="24"/>
        </w:rPr>
        <w:t xml:space="preserve">раздела 6.6.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"6.6.2. В случае, если заинтересованное лицо не является кредитором, то любые сделки между этим заинтересованным лицом и должником, совершенные в течение одного года до начала процесса банкротства, признаются судом недействительными по заявлению администратора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сделки привело к неплатежеспособности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сделки значительно больше или меньше, чем ее рыночная цена в момент исполнения сделки, и последствия сделки привели к финансовым потерям.";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10.3.1. </w:t>
      </w:r>
      <w:r>
        <w:rPr>
          <w:rFonts w:ascii="Arial" w:cs="Arial" w:eastAsia="Arial" w:hAnsi="Arial"/>
          <w:sz w:val="24"/>
          <w:szCs w:val="24"/>
        </w:rPr>
        <w:t xml:space="preserve">раздела 10.3.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отказаться от исполнения заключенных должником до начала процесса банкротства договоров, не исполненных обеими сторонами полностью или частично,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заключен с аффилированным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содержит обременительные для должника условия по сравнению с ранее заключенными аналогичными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является долгосрочным (более одного года) либо рассчитан на получение результатов для должника лишь в долгосрочной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исполнение договора повлечет неблагоприятные последствия для кредиторов;".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-njuyqjgsp7erxts5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dalil.kg/document/11613</w:t>
      </w:r>
    </w:hyperlink>
  </w:p>
  <w:p>
    <w:pPr>
      <w:spacing w:after="0" w:before="40"/>
      <w:jc w:val="center"/>
    </w:pPr>
    <w:hyperlink w:history="1" r:id="rIdwah0wdhp7vsug4rg9my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0p7hag8qtfdr89wsxr1" Type="http://schemas.openxmlformats.org/officeDocument/2006/relationships/hyperlink" Target="https://dalil.kg/document/574" TargetMode="External"/><Relationship Id="rId8cmxkdvue_yjmrbwirkyy" Type="http://schemas.openxmlformats.org/officeDocument/2006/relationships/hyperlink" Target="https://dalil.kg/document/203685" TargetMode="External"/><Relationship Id="rIddbwf3mywg-hgqxrfxt-zn" Type="http://schemas.openxmlformats.org/officeDocument/2006/relationships/hyperlink" Target="https://dalil.kg/document/6156" TargetMode="External"/><Relationship Id="rIdgpnpnw6zbinhnrhvjnukc" Type="http://schemas.openxmlformats.org/officeDocument/2006/relationships/hyperlink" Target="https://dalil.kg/document/6157" TargetMode="External"/><Relationship Id="rIdy4ejipw1dkobeyl9qi6si" Type="http://schemas.openxmlformats.org/officeDocument/2006/relationships/hyperlink" Target="https://dalil.kg/document/6157" TargetMode="External"/><Relationship Id="rIdtw0ghoblc7g5dsd13eunq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-njuyqjgsp7erxts5ul" Type="http://schemas.openxmlformats.org/officeDocument/2006/relationships/hyperlink" Target="https://dalil.kg/document/11613" TargetMode="External"/><Relationship Id="rIdwah0wdhp7vsug4rg9my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2026-09-24T08:13:19.484Z</dcterms:created>
  <dcterms:modified xsi:type="dcterms:W3CDTF">2026-09-24T08:13:19.484Z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