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wryoaibpvqhitjhghvq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qcyzhxijogzjpgupiye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353</w:t>
      </w:r>
    </w:p>
    <w:p>
      <w:pPr>
        <w:spacing w:after="400" w:before="400"/>
        <w:jc w:val="center"/>
      </w:pPr>
      <w:r>
        <w:rPr>
          <w:rFonts w:ascii="Arial" w:cs="Arial" w:eastAsia="Arial" w:hAnsi="Arial"/>
          <w:b/>
          <w:bCs/>
          <w:sz w:val="32"/>
          <w:szCs w:val="32"/>
        </w:rPr>
        <w:t xml:space="preserve">ИНСТРУКЦИЯ
 о формах, сроках и порядке составления и представления в уполномоченный государственный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1. Настоящая Инструкция устанавливает формы, сроки и порядок составления и предоставления в уполномоченный государственный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2. Отчет о деятельности ломбарда составляется по форме и в порядке, установленными в </w:t>
      </w:r>
      <w:hyperlink w:history="1" r:id="rIdwaj5qlclatcll1phspyl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 Отчет о персональном составе руководящих органов ломбарда составляется по форме и в порядке, установленными в </w:t>
      </w:r>
      <w:hyperlink w:history="1" r:id="rIdediozh9gsjdtg0h8ardbz">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 Отчет о деятельности ломбарда представляется:</w:t>
      </w:r>
    </w:p>
    <w:p>
      <w:pPr>
        <w:spacing w:after="60"/>
        <w:ind w:firstLine="567"/>
        <w:jc w:val="both"/>
      </w:pPr>
      <w:r>
        <w:rPr>
          <w:rFonts w:ascii="Arial" w:cs="Arial" w:eastAsia="Arial" w:hAnsi="Arial"/>
          <w:sz w:val="24"/>
          <w:szCs w:val="24"/>
        </w:rPr>
        <w:t xml:space="preserve">- за первый квартал, полугодие, девять месяцев календарного года не позднее 30 календарных дней по окончании отчетного периода;</w:t>
      </w:r>
    </w:p>
    <w:p>
      <w:pPr>
        <w:spacing w:after="60"/>
        <w:ind w:firstLine="567"/>
        <w:jc w:val="both"/>
      </w:pPr>
      <w:r>
        <w:rPr>
          <w:rFonts w:ascii="Arial" w:cs="Arial" w:eastAsia="Arial" w:hAnsi="Arial"/>
          <w:sz w:val="24"/>
          <w:szCs w:val="24"/>
        </w:rPr>
        <w:t xml:space="preserve">- за календарный год дважды - не позднее 30 календарных дней по окончании календарного года и не позднее 90 календарных дней по окончании календарного года.</w:t>
      </w:r>
    </w:p>
    <w:p>
      <w:pPr>
        <w:spacing w:after="60"/>
        <w:ind w:firstLine="567"/>
        <w:jc w:val="both"/>
      </w:pPr>
      <w:r>
        <w:rPr>
          <w:rFonts w:ascii="Arial" w:cs="Arial" w:eastAsia="Arial" w:hAnsi="Arial"/>
          <w:sz w:val="24"/>
          <w:szCs w:val="24"/>
        </w:rPr>
        <w:t xml:space="preserve">При составлении отчета о деятельности ломбарда за календарный год, представляемого не позднее 30 календарных дней по окончании календарного года, заполняются разделы I и III.</w:t>
      </w:r>
    </w:p>
    <w:p>
      <w:pPr>
        <w:spacing w:after="60"/>
        <w:ind w:firstLine="567"/>
        <w:jc w:val="both"/>
      </w:pPr>
      <w:r>
        <w:rPr>
          <w:rFonts w:ascii="Arial" w:cs="Arial" w:eastAsia="Arial" w:hAnsi="Arial"/>
          <w:sz w:val="24"/>
          <w:szCs w:val="24"/>
        </w:rPr>
        <w:t xml:space="preserve">При составлении отчета о деятельности ломбарда за календарный год, представляемого не позднее 90 календарных дней по окончании календарного года, заполняются разделы I-II, III-IV.</w:t>
      </w:r>
    </w:p>
    <w:p>
      <w:pPr>
        <w:spacing w:after="60"/>
        <w:ind w:firstLine="567"/>
        <w:jc w:val="both"/>
      </w:pPr>
      <w:r>
        <w:rPr>
          <w:rFonts w:ascii="Arial" w:cs="Arial" w:eastAsia="Arial" w:hAnsi="Arial"/>
          <w:sz w:val="24"/>
          <w:szCs w:val="24"/>
        </w:rPr>
        <w:t xml:space="preserve">К отчету о деятельности ломбарда за календарный год, представляемому не позднее 90 календарных дней по окончании календарного года, прилагается электронный документ, содержащий годовую бухгалтерскую (финансовую) отчетность ломбарда, составленную в соответствии с требованиями законодательства о бухгалтерском учете.</w:t>
      </w:r>
    </w:p>
    <w:p>
      <w:pPr>
        <w:spacing w:after="60"/>
        <w:ind w:firstLine="567"/>
        <w:jc w:val="both"/>
      </w:pPr>
      <w:r>
        <w:rPr>
          <w:rFonts w:ascii="Arial" w:cs="Arial" w:eastAsia="Arial" w:hAnsi="Arial"/>
          <w:sz w:val="24"/>
          <w:szCs w:val="24"/>
        </w:rPr>
        <w:t xml:space="preserve">5. Отчет о персональном составе руководящих органов ломбарда представляется по окончании календарного года, а также в случае изменения сведений, содержащихся в отчете о персональном составе руководящих органов ломбарда, не позднее 30 календарных дней после окончания календарного года или даты изменения сведений.</w:t>
      </w:r>
    </w:p>
    <w:p>
      <w:pPr>
        <w:spacing w:after="60"/>
        <w:ind w:firstLine="567"/>
        <w:jc w:val="both"/>
      </w:pPr>
      <w:r>
        <w:rPr>
          <w:rFonts w:ascii="Arial" w:cs="Arial" w:eastAsia="Arial" w:hAnsi="Arial"/>
          <w:sz w:val="24"/>
          <w:szCs w:val="24"/>
        </w:rPr>
        <w:t xml:space="preserve">6. Документы, содержащие отчет о деятельности ломбарда и (или) отчет о персональном составе руководящих органов ломбарда (далее при совместном упоминании - отчетность), представляются в уполномоченный государственный орган, регулирующий ломбардную деятельность, в бумажной и электронной форме.</w:t>
      </w:r>
    </w:p>
    <w:p>
      <w:pPr>
        <w:spacing w:after="60"/>
        <w:ind w:firstLine="567"/>
        <w:jc w:val="both"/>
      </w:pPr>
      <w:r>
        <w:rPr>
          <w:rFonts w:ascii="Arial" w:cs="Arial" w:eastAsia="Arial" w:hAnsi="Arial"/>
          <w:sz w:val="24"/>
          <w:szCs w:val="24"/>
        </w:rPr>
        <w:t xml:space="preserve">7. В случае обнаружения ломбардом ошибок в отчетности, ранее представленной в уполномоченный государственный орган, регулирующий ломбардную деятельность, исправленная отчетность должна быть направлена в течение 10 рабочих дней со дня выявления ошибок.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о формах, сроках и порядке составления и представления в уполномоченный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ОТЧЕТ
 о деятельности ломбарда</w:t>
      </w:r>
    </w:p>
    <w:p>
      <w:pPr>
        <w:spacing w:after="60"/>
        <w:jc w:val="center"/>
      </w:pPr>
      <w:r>
        <w:rPr>
          <w:rFonts w:ascii="Arial" w:cs="Arial" w:eastAsia="Arial" w:hAnsi="Arial"/>
          <w:sz w:val="24"/>
          <w:szCs w:val="24"/>
        </w:rPr>
        <w:t xml:space="preserve">по состоянию на "___" _____________________ г.</w:t>
      </w:r>
    </w:p>
    <w:p>
      <w:pPr>
        <w:spacing w:after="60" w:before="240"/>
        <w:ind w:firstLine="567"/>
        <w:jc w:val="right"/>
      </w:pPr>
      <w:r>
        <w:rPr>
          <w:rFonts w:ascii="Arial" w:cs="Arial" w:eastAsia="Arial" w:hAnsi="Arial"/>
          <w:sz w:val="24"/>
          <w:szCs w:val="24"/>
        </w:rPr>
        <w:t xml:space="preserve">Квартальная</w:t>
      </w:r>
    </w:p>
    <w:p>
      <w:pPr>
        <w:spacing w:after="60" w:before="240"/>
        <w:ind w:firstLine="567"/>
        <w:jc w:val="both"/>
      </w:pPr>
      <w:r>
        <w:rPr>
          <w:rFonts w:ascii="Arial" w:cs="Arial" w:eastAsia="Arial" w:hAnsi="Arial"/>
          <w:sz w:val="24"/>
          <w:szCs w:val="24"/>
        </w:rPr>
        <w:t xml:space="preserve">Раздел I. Общие сведения о ломбарде</w:t>
      </w:r>
    </w:p>
    <w:p>
      <w:pPr>
        <w:spacing w:after="120"/>
        <w:ind w:firstLine="567"/>
        <w:jc w:val="both"/>
      </w:pPr>
      <w:r>
        <w:rPr>
          <w:rFonts w:ascii="Arial" w:cs="Arial" w:eastAsia="Arial" w:hAnsi="Arial"/>
          <w:sz w:val="24"/>
          <w:szCs w:val="24"/>
        </w:rPr>
        <w:t xml:space="preserve">Пункт 1. Реквизиты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3"/>
        <w:gridCol w:w="1510"/>
        <w:gridCol w:w="1819"/>
        <w:gridCol w:w="2220"/>
        <w:gridCol w:w="1878"/>
        <w:gridCol w:w="1276"/>
      </w:tblGrid>
      <w:tr>
        <w:tc>
          <w:tcPr>
            <w:tcW w:type="dxa" w:w="14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ломбарда</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 ломбарда</w:t>
            </w:r>
          </w:p>
        </w:tc>
        <w:tc>
          <w:tcPr>
            <w:tcW w:type="dxa" w:w="1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организационно-правовой формы ломбарда по ОКПО</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ломбарда (ИНН)</w:t>
            </w:r>
          </w:p>
        </w:tc>
        <w:tc>
          <w:tcPr>
            <w:tcW w:type="dxa" w:w="1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ломбарда</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ломбарда</w:t>
            </w:r>
          </w:p>
        </w:tc>
      </w:tr>
      <w:tr>
        <w:tc>
          <w:tcPr>
            <w:tcW w:type="dxa" w:w="1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846"/>
        <w:gridCol w:w="1187"/>
        <w:gridCol w:w="1148"/>
        <w:gridCol w:w="1476"/>
        <w:gridCol w:w="2901"/>
      </w:tblGrid>
      <w:tr>
        <w:tc>
          <w:tcPr>
            <w:tcW w:type="dxa" w:w="16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Адрес фактического нахождения ломбарда</w:t>
            </w:r>
          </w:p>
        </w:tc>
        <w:tc>
          <w:tcPr>
            <w:tcW w:type="dxa" w:w="1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для почтовой корреспонденции</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телефона ломбарда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факса ломбарда</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 ломбарда</w:t>
            </w:r>
          </w:p>
        </w:tc>
        <w:tc>
          <w:tcPr>
            <w:tcW w:type="dxa" w:w="2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сайта ломбарда в информационно-телекоммуникационной сети "Интернет" (при наличии)</w:t>
            </w:r>
          </w:p>
        </w:tc>
      </w:tr>
      <w:tr>
        <w:tc>
          <w:tcPr>
            <w:tcW w:type="dxa" w:w="16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2. Сведения об обособленных подразделениях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1486"/>
        <w:gridCol w:w="1474"/>
        <w:gridCol w:w="1507"/>
        <w:gridCol w:w="1488"/>
        <w:gridCol w:w="1484"/>
        <w:gridCol w:w="1499"/>
      </w:tblGrid>
      <w:tr>
        <w:tc>
          <w:tcPr>
            <w:tcW w:type="dxa" w:w="1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обособленного подразделения ломбарда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обособленного подразделения ломбарда</w:t>
            </w:r>
          </w:p>
        </w:tc>
        <w:tc>
          <w:tcPr>
            <w:tcW w:type="dxa" w:w="15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фактического нахождения обособленного подразделения ломбарда</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телефона обособленного подразделения ломбарда</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факса обособленного подразделения ломбарда</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 обособленного подразделения ломбарда</w:t>
            </w: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3. Сведения о счетах ломбарда, открытых в кредитных организациях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1"/>
        <w:gridCol w:w="1863"/>
        <w:gridCol w:w="1675"/>
        <w:gridCol w:w="2658"/>
        <w:gridCol w:w="690"/>
        <w:gridCol w:w="806"/>
        <w:gridCol w:w="1144"/>
      </w:tblGrid>
      <w:tr>
        <w:tc>
          <w:tcPr>
            <w:tcW w:type="dxa" w:w="13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кредитной организации</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кредитной организации</w:t>
            </w:r>
          </w:p>
        </w:tc>
        <w:tc>
          <w:tcPr>
            <w:tcW w:type="dxa" w:w="26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Банковский идентификационный код (БИК) кредитной организации</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счета</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счета</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счета</w:t>
            </w:r>
          </w:p>
        </w:tc>
      </w:tr>
      <w:tr>
        <w:tc>
          <w:tcPr>
            <w:tcW w:type="dxa" w:w="13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4. Сведения о страховых организациях, осуществляющих страхование имущества, переданного ломбарду в залог и принятого на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1510"/>
        <w:gridCol w:w="1360"/>
        <w:gridCol w:w="2218"/>
        <w:gridCol w:w="1881"/>
        <w:gridCol w:w="2039"/>
      </w:tblGrid>
      <w:tr>
        <w:tc>
          <w:tcPr>
            <w:tcW w:type="dxa" w:w="11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страховой организации</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страховой организации</w:t>
            </w:r>
          </w:p>
        </w:tc>
        <w:tc>
          <w:tcPr>
            <w:tcW w:type="dxa" w:w="22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 страховой организации</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страховой организации</w:t>
            </w:r>
          </w:p>
        </w:tc>
        <w:tc>
          <w:tcPr>
            <w:tcW w:type="dxa" w:w="2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в Едином государственном реестре субъектов страхового дела</w:t>
            </w:r>
          </w:p>
        </w:tc>
      </w:tr>
      <w:tr>
        <w:tc>
          <w:tcPr>
            <w:tcW w:type="dxa" w:w="11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Раздел II. Основные показатели деятельности ломбарда</w:t>
      </w:r>
    </w:p>
    <w:p>
      <w:pPr>
        <w:spacing w:after="120"/>
        <w:ind w:firstLine="567"/>
        <w:jc w:val="both"/>
      </w:pPr>
      <w:r>
        <w:rPr>
          <w:rFonts w:ascii="Arial" w:cs="Arial" w:eastAsia="Arial" w:hAnsi="Arial"/>
          <w:sz w:val="24"/>
          <w:szCs w:val="24"/>
        </w:rPr>
        <w:t xml:space="preserve">Пункт 1. Сведения о займах</w:t>
      </w:r>
    </w:p>
    <w:p>
      <w:pPr>
        <w:spacing w:after="120"/>
        <w:ind w:firstLine="567"/>
        <w:jc w:val="both"/>
      </w:pPr>
      <w:r>
        <w:rPr>
          <w:rFonts w:ascii="Arial" w:cs="Arial" w:eastAsia="Arial" w:hAnsi="Arial"/>
          <w:sz w:val="24"/>
          <w:szCs w:val="24"/>
        </w:rPr>
        <w:t xml:space="preserve">1.1. Задолженность по основному долгу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4136"/>
        <w:gridCol w:w="4077"/>
      </w:tblGrid>
      <w:tr>
        <w:tc>
          <w:tcPr>
            <w:tcW w:type="dxa" w:w="1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займов, выданных за отчетный период</w:t>
            </w:r>
          </w:p>
        </w:tc>
        <w:tc>
          <w:tcPr>
            <w:tcW w:type="dxa" w:w="4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предоставленным займам на конец отчетного периода, в том числе:</w:t>
            </w:r>
          </w:p>
        </w:tc>
        <w:tc>
          <w:tcPr>
            <w:tcW w:type="dxa" w:w="4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предоставленным займам, не погашенным в установленный срок</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Задолженность по процентам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5"/>
        <w:gridCol w:w="3597"/>
        <w:gridCol w:w="3546"/>
      </w:tblGrid>
      <w:tr>
        <w:tc>
          <w:tcPr>
            <w:tcW w:type="dxa" w:w="30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начисленных процентов по предоставленным займам за отчетный период</w:t>
            </w:r>
          </w:p>
        </w:tc>
        <w:tc>
          <w:tcPr>
            <w:tcW w:type="dxa" w:w="3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процентам по предоставленным займам на конец отчетного периода, в том числе:</w:t>
            </w:r>
          </w:p>
        </w:tc>
        <w:tc>
          <w:tcPr>
            <w:tcW w:type="dxa" w:w="35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процентам по предоставленным займам, не погашенным в установленный срок</w:t>
            </w:r>
          </w:p>
        </w:tc>
      </w:tr>
      <w:tr>
        <w:tc>
          <w:tcPr>
            <w:tcW w:type="dxa" w:w="30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Полученные денежные средства по предоставленным займам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5"/>
        <w:gridCol w:w="2176"/>
        <w:gridCol w:w="2785"/>
        <w:gridCol w:w="2742"/>
      </w:tblGrid>
      <w:tr>
        <w:tc>
          <w:tcPr>
            <w:tcW w:type="dxa" w:w="24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поступивших за отчетный период в погашение задолженности по основному долгу по предоставленным займам</w:t>
            </w:r>
          </w:p>
        </w:tc>
        <w:tc>
          <w:tcPr>
            <w:tcW w:type="dxa" w:w="2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полученных за отчетный период процентов по предоставленным займам</w:t>
            </w:r>
          </w:p>
        </w:tc>
        <w:tc>
          <w:tcPr>
            <w:tcW w:type="dxa" w:w="2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основному долгу по предоставленным займам</w:t>
            </w:r>
          </w:p>
        </w:tc>
        <w:tc>
          <w:tcPr>
            <w:tcW w:type="dxa" w:w="2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процентам по предоставленным займам</w:t>
            </w:r>
          </w:p>
        </w:tc>
      </w:tr>
      <w:tr>
        <w:tc>
          <w:tcPr>
            <w:tcW w:type="dxa" w:w="24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Информация о договорах займа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9"/>
        <w:gridCol w:w="2449"/>
        <w:gridCol w:w="2453"/>
        <w:gridCol w:w="1409"/>
        <w:gridCol w:w="1647"/>
      </w:tblGrid>
      <w:tr>
        <w:tc>
          <w:tcPr>
            <w:tcW w:type="dxa" w:w="2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по которым на конец отчетного периода обязательства не погашены или заложенные вещи не проданы, шт., в том числе:</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обязательства по которым не погашены в установленный срок и которые находятся на льготном месячном сроке, на конец отчетного периода, шт.</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по которым истек льготный месячный срок, но обязательства по ним не погашены или заложенное имущество еще не продано на конец отчетного периода, шт.</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заемщиков на конец отчетного периода, чел.</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займа, заключенных за отчетный период, шт.</w:t>
            </w:r>
          </w:p>
        </w:tc>
      </w:tr>
      <w:tr>
        <w:tc>
          <w:tcPr>
            <w:tcW w:type="dxa" w:w="22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2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Иные сведения по договорам займа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6"/>
        <w:gridCol w:w="2932"/>
        <w:gridCol w:w="4090"/>
      </w:tblGrid>
      <w:tr>
        <w:tc>
          <w:tcPr>
            <w:tcW w:type="dxa" w:w="3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реструктурированной в отчетном периоде задолженности по договорам займа</w:t>
            </w:r>
          </w:p>
        </w:tc>
        <w:tc>
          <w:tcPr>
            <w:tcW w:type="dxa" w:w="2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списанной в отчетном периоде задолженности по основному долгу по договорам займа</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подлежащая получению ломбардом в результате реализации невостребованных вещей, на конец отчетного периода</w:t>
            </w:r>
          </w:p>
        </w:tc>
      </w:tr>
      <w:tr>
        <w:tc>
          <w:tcPr>
            <w:tcW w:type="dxa" w:w="3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Пункт 2. Сведения о денежных средствах, привлеченных ломбардом</w:t>
      </w:r>
    </w:p>
    <w:p>
      <w:pPr>
        <w:spacing w:after="120" w:before="120"/>
        <w:ind w:firstLine="567"/>
        <w:jc w:val="both"/>
      </w:pPr>
      <w:r>
        <w:rPr>
          <w:rFonts w:ascii="Arial" w:cs="Arial" w:eastAsia="Arial" w:hAnsi="Arial"/>
          <w:sz w:val="24"/>
          <w:szCs w:val="24"/>
        </w:rPr>
        <w:t xml:space="preserve">2.1. Сведения о денежных средствах, привлеченных от юридических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0"/>
        <w:gridCol w:w="1430"/>
        <w:gridCol w:w="1430"/>
        <w:gridCol w:w="3029"/>
        <w:gridCol w:w="2860"/>
      </w:tblGrid>
      <w:tr>
        <w:tc>
          <w:tcPr>
            <w:tcW w:type="dxa" w:w="4290"/>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договорам займа и кредитным договорам, заключенным с юридическими лицами, на конец отчетного периода (основной долг и проценты), тыс. сом.</w:t>
            </w:r>
          </w:p>
        </w:tc>
        <w:tc>
          <w:tcPr>
            <w:tcW w:type="dxa" w:w="30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предоставленных ломбарду юридическими лицами по договорам займа и кредитным договорам за отчетный период, тыс. сом.</w:t>
            </w:r>
          </w:p>
        </w:tc>
        <w:tc>
          <w:tcPr>
            <w:tcW w:type="dxa" w:w="28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юридических лиц, предоставивших ломбарду денежные средства по договорам займа и кредитным договорам за отчетный период, ед.</w:t>
            </w: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основному долгу, тыс. сом.</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процентам, тыс. сом.</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тыс.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договорам, заключенным с кредитными организациями:</w:t>
            </w:r>
          </w:p>
        </w:tc>
      </w:tr>
      <w:tr>
        <w:tc>
          <w:tcPr>
            <w:tcW w:type="dxa" w:w="1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2.2. Сведения о денежных средствах, привлеченных от физических лиц, являющихся учредителями (членами, участниками)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9"/>
        <w:gridCol w:w="3446"/>
        <w:gridCol w:w="3263"/>
      </w:tblGrid>
      <w:tr>
        <w:tc>
          <w:tcPr>
            <w:tcW w:type="dxa" w:w="34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(основной долг и проценты) по договорам займа, заключенным с физическими лицами, являющимися учредителями (членами, участниками), на конец отчетного периода, тыс. сом.</w:t>
            </w:r>
          </w:p>
        </w:tc>
        <w:tc>
          <w:tcPr>
            <w:tcW w:type="dxa" w:w="3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предоставленных ломбарду физическими лицами, являющимися учредителями (членами, участниками), по договорам займа за отчетный период, тыс. сом.</w:t>
            </w:r>
          </w:p>
        </w:tc>
        <w:tc>
          <w:tcPr>
            <w:tcW w:type="dxa" w:w="32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физических лиц, являющихся учредителями (членами, участниками), предоставивших ломбарду денежные средства по договорам займа за отчетный период, чел.</w:t>
            </w:r>
          </w:p>
        </w:tc>
      </w:tr>
      <w:tr>
        <w:tc>
          <w:tcPr>
            <w:tcW w:type="dxa" w:w="34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34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Общие сведения о денежных средствах, привлеченных ломбардом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6"/>
        <w:gridCol w:w="3336"/>
        <w:gridCol w:w="3866"/>
      </w:tblGrid>
      <w:tr>
        <w:tc>
          <w:tcPr>
            <w:tcW w:type="dxa" w:w="29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сумма денежных средств, привлеченных ломбардом за отчетный период, тыс. сом.</w:t>
            </w:r>
          </w:p>
        </w:tc>
        <w:tc>
          <w:tcPr>
            <w:tcW w:type="dxa" w:w="3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договоров займа и кредитных договоров, заключенных ломбардом за отчетный период, шт.</w:t>
            </w:r>
          </w:p>
        </w:tc>
        <w:tc>
          <w:tcPr>
            <w:tcW w:type="dxa" w:w="3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по основному долгу по займам и кредитам, привлеченным ломбардом, на конец отчетного периода, тыс. сом.</w:t>
            </w:r>
          </w:p>
        </w:tc>
      </w:tr>
      <w:tr>
        <w:tc>
          <w:tcPr>
            <w:tcW w:type="dxa" w:w="29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3. Информация о страховании рисков ломбарда, связанных с вещами, принятыми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0"/>
        <w:gridCol w:w="2296"/>
        <w:gridCol w:w="1995"/>
        <w:gridCol w:w="1655"/>
        <w:gridCol w:w="2292"/>
      </w:tblGrid>
      <w:tr>
        <w:tc>
          <w:tcPr>
            <w:tcW w:type="dxa" w:w="1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страхования вещей, принятых в залог, заключенных за отчетный период, шт.</w:t>
            </w:r>
          </w:p>
        </w:tc>
        <w:tc>
          <w:tcPr>
            <w:tcW w:type="dxa" w:w="2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страховой премии (страховых взносов), уплаченной (уплаченных) за отчетный период ломбардом страховым организациям, тыс. сом.</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на которую застрахованы вещи, принятые в залог на конец отчетного периода, тыс. сом.</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страховых случаев, наступивших за отчетный период, шт.</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выплат по страховым случаям, осуществленных страховыми организациями за отчетный период, тыс. сом.</w:t>
            </w:r>
          </w:p>
        </w:tc>
      </w:tr>
      <w:tr>
        <w:tc>
          <w:tcPr>
            <w:tcW w:type="dxa" w:w="1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4. Иная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3"/>
        <w:gridCol w:w="4081"/>
        <w:gridCol w:w="2744"/>
      </w:tblGrid>
      <w:tr>
        <w:tc>
          <w:tcPr>
            <w:tcW w:type="dxa" w:w="33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хранение вещей заключенных за отчетный период ломбардом, шт.</w:t>
            </w:r>
          </w:p>
        </w:tc>
        <w:tc>
          <w:tcPr>
            <w:tcW w:type="dxa" w:w="4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денежных средств, полученных за отчетный период ломбардом, по договорам хранение вещей, тыс. сом.</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Чистая прибыль (убыток) по всем видам деятельности, тыс. сом.</w:t>
            </w:r>
          </w:p>
        </w:tc>
      </w:tr>
      <w:tr>
        <w:tc>
          <w:tcPr>
            <w:tcW w:type="dxa" w:w="33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3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III. Балансовые показатели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0"/>
        <w:gridCol w:w="5656"/>
        <w:gridCol w:w="2682"/>
      </w:tblGrid>
      <w:tr>
        <w:tc>
          <w:tcPr>
            <w:tcW w:type="dxa" w:w="18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5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вложения</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расчетном счете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кассе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(непокрытый убыток)</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составляющие капитала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средства, в том числе:</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заемным средствам</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ломбарда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IV. Информация об операциях с денежными средствами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2191"/>
        <w:gridCol w:w="2203"/>
        <w:gridCol w:w="2016"/>
        <w:gridCol w:w="2170"/>
      </w:tblGrid>
      <w:tr>
        <w:tc>
          <w:tcPr>
            <w:tcW w:type="dxa" w:w="1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начало последнего квартала отчетного периода</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Поступление денежных средств за последний квартал отчетного периода</w:t>
            </w:r>
          </w:p>
        </w:tc>
        <w:tc>
          <w:tcPr>
            <w:tcW w:type="dxa" w:w="2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Выбытие денежных средств за последний квартал отчетного периода</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конец последнего квартала отчетного периода</w:t>
            </w:r>
          </w:p>
        </w:tc>
      </w:tr>
      <w:tr>
        <w:tc>
          <w:tcPr>
            <w:tcW w:type="dxa" w:w="1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Валютные счета</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 (ФИО)</w:t>
      </w:r>
    </w:p>
    <w:p>
      <w:pPr>
        <w:spacing w:after="400" w:before="400"/>
        <w:jc w:val="center"/>
      </w:pPr>
      <w:r>
        <w:rPr>
          <w:rFonts w:ascii="Arial" w:cs="Arial" w:eastAsia="Arial" w:hAnsi="Arial"/>
          <w:b/>
          <w:bCs/>
          <w:sz w:val="32"/>
          <w:szCs w:val="32"/>
        </w:rPr>
        <w:t xml:space="preserve">ПОРЯДОК
 составления отчетности по форме "Отчет о деятельности ломбарда"</w:t>
      </w:r>
    </w:p>
    <w:p>
      <w:pPr>
        <w:spacing w:after="60"/>
        <w:ind w:firstLine="567"/>
        <w:jc w:val="both"/>
      </w:pPr>
      <w:r>
        <w:rPr>
          <w:rFonts w:ascii="Arial" w:cs="Arial" w:eastAsia="Arial" w:hAnsi="Arial"/>
          <w:sz w:val="24"/>
          <w:szCs w:val="24"/>
        </w:rPr>
        <w:t xml:space="preserve">1. Данные в отчете о деятельности ломбарда (далее - Отчет) отражаются по состоянию на последний календарный день отчетного периода включительно или за отчетный период, за исключением разделов III и V, данные в которых отражаются за последний квартал отчетного периода.</w:t>
      </w:r>
    </w:p>
    <w:p>
      <w:pPr>
        <w:spacing w:after="60"/>
        <w:ind w:firstLine="567"/>
        <w:jc w:val="both"/>
      </w:pPr>
      <w:r>
        <w:rPr>
          <w:rFonts w:ascii="Arial" w:cs="Arial" w:eastAsia="Arial" w:hAnsi="Arial"/>
          <w:sz w:val="24"/>
          <w:szCs w:val="24"/>
        </w:rPr>
        <w:t xml:space="preserve">2. В пункте 1 раздела I Отчета отражаются сведения, соответствующие данным, указанным в уставе ломбарда, а также иных учредительных документах ломбарда, свидетельстве о постановке на учет в налоговом органе юридического лица,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полное и сокращенное фирменное наименование ломбарда на государственном и официальном языках, соответствующее наименованию указанным в его учредительных документах;</w:t>
      </w:r>
    </w:p>
    <w:p>
      <w:pPr>
        <w:spacing w:after="60"/>
        <w:ind w:firstLine="567"/>
        <w:jc w:val="both"/>
      </w:pPr>
      <w:r>
        <w:rPr>
          <w:rFonts w:ascii="Arial" w:cs="Arial" w:eastAsia="Arial" w:hAnsi="Arial"/>
          <w:sz w:val="24"/>
          <w:szCs w:val="24"/>
        </w:rPr>
        <w:t xml:space="preserve">- код организационно-правовой формы ломбарда согласно Общереспубликанскому классификатору организационно-правовых форм;</w:t>
      </w:r>
    </w:p>
    <w:p>
      <w:pPr>
        <w:spacing w:after="60"/>
        <w:ind w:firstLine="567"/>
        <w:jc w:val="both"/>
      </w:pPr>
      <w:r>
        <w:rPr>
          <w:rFonts w:ascii="Arial" w:cs="Arial" w:eastAsia="Arial" w:hAnsi="Arial"/>
          <w:sz w:val="24"/>
          <w:szCs w:val="24"/>
        </w:rPr>
        <w:t xml:space="preserve">- идентификационный номер налогоплательщика (ИНН) (ломбарда) - номер, указанный в свидетельстве о постановке на учет юридического лица в налоговом органе;</w:t>
      </w:r>
    </w:p>
    <w:p>
      <w:pPr>
        <w:spacing w:after="60"/>
        <w:ind w:firstLine="567"/>
        <w:jc w:val="both"/>
      </w:pPr>
      <w:r>
        <w:rPr>
          <w:rFonts w:ascii="Arial" w:cs="Arial" w:eastAsia="Arial" w:hAnsi="Arial"/>
          <w:sz w:val="24"/>
          <w:szCs w:val="24"/>
        </w:rPr>
        <w:t xml:space="preserve">- государственный регистрационный номер ломбарда - номер, указанный в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место нахождения ломбарда, определяемое местом государственной регистрации юридического лица и указанное в его учредительных документах;</w:t>
      </w:r>
    </w:p>
    <w:p>
      <w:pPr>
        <w:spacing w:after="60"/>
        <w:ind w:firstLine="567"/>
        <w:jc w:val="both"/>
      </w:pPr>
      <w:r>
        <w:rPr>
          <w:rFonts w:ascii="Arial" w:cs="Arial" w:eastAsia="Arial" w:hAnsi="Arial"/>
          <w:sz w:val="24"/>
          <w:szCs w:val="24"/>
        </w:rPr>
        <w:t xml:space="preserve">- адрес фактического нахождения ломбарда, определяемый основным местом ведения деятельности с наибольшим объемом предоставленных займов за отчетный период;</w:t>
      </w:r>
    </w:p>
    <w:p>
      <w:pPr>
        <w:spacing w:after="60"/>
        <w:ind w:firstLine="567"/>
        <w:jc w:val="both"/>
      </w:pPr>
      <w:r>
        <w:rPr>
          <w:rFonts w:ascii="Arial" w:cs="Arial" w:eastAsia="Arial" w:hAnsi="Arial"/>
          <w:sz w:val="24"/>
          <w:szCs w:val="24"/>
        </w:rPr>
        <w:t xml:space="preserve">- адрес для почтовой корреспонденции, номер телефона, факса, адрес электронной почты - актуальная контактная информация по состоянию на последний календарный день отчетного периода;</w:t>
      </w:r>
    </w:p>
    <w:p>
      <w:pPr>
        <w:spacing w:after="60"/>
        <w:ind w:firstLine="567"/>
        <w:jc w:val="both"/>
      </w:pPr>
      <w:r>
        <w:rPr>
          <w:rFonts w:ascii="Arial" w:cs="Arial" w:eastAsia="Arial" w:hAnsi="Arial"/>
          <w:sz w:val="24"/>
          <w:szCs w:val="24"/>
        </w:rPr>
        <w:t xml:space="preserve">- адрес сайта в информационно-телекоммуникационной сети "Интернет" (при наличии).</w:t>
      </w:r>
    </w:p>
    <w:p>
      <w:pPr>
        <w:spacing w:after="60"/>
        <w:ind w:firstLine="567"/>
        <w:jc w:val="both"/>
      </w:pPr>
      <w:r>
        <w:rPr>
          <w:rFonts w:ascii="Arial" w:cs="Arial" w:eastAsia="Arial" w:hAnsi="Arial"/>
          <w:sz w:val="24"/>
          <w:szCs w:val="24"/>
        </w:rPr>
        <w:t xml:space="preserve">3. В пункте 2 раздела I Отчета указываются сведения обо всех обособленных подразделениях ломбарда, действующих на конец отчетного периода на территории Кыргызской Республики и за ее пределами. В графе 14 указываются полное наименование обособленного подразделения (при наличии). В графе 15 указывается вид обособленного подразделения ломбарда - представительство, филиал или иное обособленное подразделение.</w:t>
      </w:r>
    </w:p>
    <w:p>
      <w:pPr>
        <w:spacing w:after="60"/>
        <w:ind w:firstLine="567"/>
        <w:jc w:val="both"/>
      </w:pPr>
      <w:r>
        <w:rPr>
          <w:rFonts w:ascii="Arial" w:cs="Arial" w:eastAsia="Arial" w:hAnsi="Arial"/>
          <w:sz w:val="24"/>
          <w:szCs w:val="24"/>
        </w:rPr>
        <w:t xml:space="preserve">4. В пункте 3 раздела I Отчета указываются сведения обо всех счетах, открытых в кредитных организациях, в том числе о счетах, открытых обособленными подразделениями ломбарда за рубежом. В данный пункт также включается информация о счетах, которые открыты ломбардом в кредитных организациях в отчетном периоде, но которые на конец отчетного периода являются закрытыми или не используются ломбардом.</w:t>
      </w:r>
    </w:p>
    <w:p>
      <w:pPr>
        <w:spacing w:after="60"/>
        <w:ind w:firstLine="567"/>
        <w:jc w:val="both"/>
      </w:pPr>
      <w:r>
        <w:rPr>
          <w:rFonts w:ascii="Arial" w:cs="Arial" w:eastAsia="Arial" w:hAnsi="Arial"/>
          <w:sz w:val="24"/>
          <w:szCs w:val="24"/>
        </w:rPr>
        <w:t xml:space="preserve">В случае, если ломбардом или его обособленным подразделением открыт счет в банке-нерезиденте, в графе 23 пункта 3 раздела I Отчета указывается код кредитной организации, а при отсутствии данной информации указывается "нерезидент".</w:t>
      </w:r>
    </w:p>
    <w:p>
      <w:pPr>
        <w:spacing w:after="60"/>
        <w:ind w:firstLine="567"/>
        <w:jc w:val="both"/>
      </w:pPr>
      <w:r>
        <w:rPr>
          <w:rFonts w:ascii="Arial" w:cs="Arial" w:eastAsia="Arial" w:hAnsi="Arial"/>
          <w:sz w:val="24"/>
          <w:szCs w:val="24"/>
        </w:rPr>
        <w:t xml:space="preserve">5. В пункте 4 раздела I Отчета указывается информация обо всех страховых организациях, с которыми у ломбарда был заключен и (или) действовал в отчетном периоде договор страхования имущества.</w:t>
      </w:r>
    </w:p>
    <w:p>
      <w:pPr>
        <w:spacing w:after="60"/>
        <w:ind w:firstLine="567"/>
        <w:jc w:val="both"/>
      </w:pPr>
      <w:r>
        <w:rPr>
          <w:rFonts w:ascii="Arial" w:cs="Arial" w:eastAsia="Arial" w:hAnsi="Arial"/>
          <w:sz w:val="24"/>
          <w:szCs w:val="24"/>
        </w:rPr>
        <w:t xml:space="preserve">6. Показатели раздела II Отчета формируются независимо от организационно-правовой формы и применяемой ломбардом системы налогообложения на основании данных бухгалтерского учета, а также на основании данных учета займов.</w:t>
      </w:r>
    </w:p>
    <w:p>
      <w:pPr>
        <w:spacing w:after="60"/>
        <w:ind w:firstLine="567"/>
        <w:jc w:val="both"/>
      </w:pPr>
      <w:r>
        <w:rPr>
          <w:rFonts w:ascii="Arial" w:cs="Arial" w:eastAsia="Arial" w:hAnsi="Arial"/>
          <w:sz w:val="24"/>
          <w:szCs w:val="24"/>
        </w:rPr>
        <w:t xml:space="preserve">При заполнении раздела II Отчета, в случае отсутствия значения показателя по строке ставится ноль (0), при наличии значения данные по суммам заполняются в тысячах сомов, по количеству в штуках. Все показатели указываются в целых числах.</w:t>
      </w:r>
    </w:p>
    <w:p>
      <w:pPr>
        <w:spacing w:after="60"/>
        <w:ind w:firstLine="567"/>
        <w:jc w:val="both"/>
      </w:pPr>
      <w:r>
        <w:rPr>
          <w:rFonts w:ascii="Arial" w:cs="Arial" w:eastAsia="Arial" w:hAnsi="Arial"/>
          <w:sz w:val="24"/>
          <w:szCs w:val="24"/>
        </w:rPr>
        <w:t xml:space="preserve">В разделе II Отчета отражаются сведения о займах, сведения о средствах, привлеченных для осуществления деятельности ломбарда, информация о страховании рисков ломбарда и иные сведения по договорам займа.</w:t>
      </w:r>
    </w:p>
    <w:p>
      <w:pPr>
        <w:spacing w:after="60"/>
        <w:ind w:firstLine="567"/>
        <w:jc w:val="both"/>
      </w:pPr>
      <w:r>
        <w:rPr>
          <w:rFonts w:ascii="Arial" w:cs="Arial" w:eastAsia="Arial" w:hAnsi="Arial"/>
          <w:sz w:val="24"/>
          <w:szCs w:val="24"/>
        </w:rPr>
        <w:t xml:space="preserve">7. В подпункте 1.1 пункта 1 раздела II Отчета указывается сумма займов, выданных за отчетный период, а также сумма задолженности по основному долгу по предоставленным займам по состоянию на конец отчетного периода. В отдельной графе указываются данные по сумме задолженности по основному долгу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33 подпункта 1.1 пункта 1 раздела II Отчета указывается сумма займов, выданных по договорам займа, заключенным в отчетном периоде. В указанной графе указывается информация как по договорам займа, по которым обязательства на конец отчетного периода не погашены и заложенные вещи не проданы, так и по договорам займа, по которым на конец отчетного периода обязательства были погашены или заложенные вещи были проданы.</w:t>
      </w:r>
    </w:p>
    <w:p>
      <w:pPr>
        <w:spacing w:after="60"/>
        <w:ind w:firstLine="567"/>
        <w:jc w:val="both"/>
      </w:pPr>
      <w:r>
        <w:rPr>
          <w:rFonts w:ascii="Arial" w:cs="Arial" w:eastAsia="Arial" w:hAnsi="Arial"/>
          <w:sz w:val="24"/>
          <w:szCs w:val="24"/>
        </w:rPr>
        <w:t xml:space="preserve">В графе 34 подпункта 1.1 пункта 1 раздела II Отчета указывается сумма задолженности по основному долгу по договорам займа, по которым не наступил льготный месячный срок и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35 подпункта 1.1 пункта 1 раздела II Отчета указывается сумма задолженности по основному долгу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8. В подпункте 1.2 пункта 1 раздела II Отчета указывается сумма денежных средств, начисленных заемщику в отчетном периоде (квартал, полугодие, девять месяцев, год) по процентной ставке по предоставленным займам, сумма задолженности по процентам по предоставленным займам (сведения о начисленных, но не полученных ломбардом процентах) по состоянию на конец отчетного периода. Данные по сумме задолженности по процентам по предоставленным займам, по которым наступил или истек льготный месячный срок, но по которым обязательства не погашены или заложенные вещи не проданы, включаются в общую сумму задолженности по процентам по предоставленным займам, а также указываются в графе 40.</w:t>
      </w:r>
    </w:p>
    <w:p>
      <w:pPr>
        <w:spacing w:after="60"/>
        <w:ind w:firstLine="567"/>
        <w:jc w:val="both"/>
      </w:pPr>
      <w:r>
        <w:rPr>
          <w:rFonts w:ascii="Arial" w:cs="Arial" w:eastAsia="Arial" w:hAnsi="Arial"/>
          <w:sz w:val="24"/>
          <w:szCs w:val="24"/>
        </w:rPr>
        <w:t xml:space="preserve">В графе 36 подпункта 1.2 пункта 1 раздела II Отчета указывается сумма процентов, начисленных в отчетном периоде ломбардом по договорам займа по методу начисления. В указанную строку включается информация о начисленных процентах как по договорам займа, по которым не наступил льготный месячный срок, по которым наступил или истек льготный месячный срок, но по которым обязательства не погашены или заложенные вещи не проданы, так и по договорам займа, по которым в отчетном периоде обязательства были погашены или заложенные вещи были проданы.</w:t>
      </w:r>
    </w:p>
    <w:p>
      <w:pPr>
        <w:spacing w:after="60"/>
        <w:ind w:firstLine="567"/>
        <w:jc w:val="both"/>
      </w:pPr>
      <w:r>
        <w:rPr>
          <w:rFonts w:ascii="Arial" w:cs="Arial" w:eastAsia="Arial" w:hAnsi="Arial"/>
          <w:sz w:val="24"/>
          <w:szCs w:val="24"/>
        </w:rPr>
        <w:t xml:space="preserve">В графе 37 подпункта 1.2 подраздела 1 раздела II Отчета указывается сумма задолженности по процентам по договорам займа, по которым не наступил льготный месячный срок и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В графе 38 подпункта 1.2 пункта 1 раздела II Отчета указывается сумма задолженности по процентам по договорам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9. В графе 39 подпункта 1.3 подраздела 1 раздела II Отчета указывается сумма денежных средств, полученных ломбардом в погашение задолженности по основному долгу, и сумма фактически полученных процентов по предоставленным займам за отчетный период (квартал, полугодие, девять месяцев, год) по состоянию на конец отчетного периода.</w:t>
      </w:r>
    </w:p>
    <w:p>
      <w:pPr>
        <w:spacing w:after="60"/>
        <w:ind w:firstLine="567"/>
        <w:jc w:val="both"/>
      </w:pPr>
      <w:r>
        <w:rPr>
          <w:rFonts w:ascii="Arial" w:cs="Arial" w:eastAsia="Arial" w:hAnsi="Arial"/>
          <w:sz w:val="24"/>
          <w:szCs w:val="24"/>
        </w:rPr>
        <w:t xml:space="preserve">В графах 41 и 42 подпункта 1.3 пункта 1 раздела II Отчета указываются данные по сумме денежных средств, полученных ломбардом от реализации невостребованных вещей и зачисленных в счет погашения задолженности по основному долгу и по процентам.</w:t>
      </w:r>
    </w:p>
    <w:p>
      <w:pPr>
        <w:spacing w:after="60"/>
        <w:ind w:firstLine="567"/>
        <w:jc w:val="both"/>
      </w:pPr>
      <w:r>
        <w:rPr>
          <w:rFonts w:ascii="Arial" w:cs="Arial" w:eastAsia="Arial" w:hAnsi="Arial"/>
          <w:sz w:val="24"/>
          <w:szCs w:val="24"/>
        </w:rPr>
        <w:t xml:space="preserve">10. В подпункте 1.4 пункта 1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в графе 43 - количество договоров займа, по которым не наступил льготный месячный срок, а также договоров займа,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44 - количество договоров займа, по которым наступил, но не истек льготный месячный срок и обязательства не погашены;</w:t>
      </w:r>
    </w:p>
    <w:p>
      <w:pPr>
        <w:spacing w:after="60"/>
        <w:ind w:firstLine="567"/>
        <w:jc w:val="both"/>
      </w:pPr>
      <w:r>
        <w:rPr>
          <w:rFonts w:ascii="Arial" w:cs="Arial" w:eastAsia="Arial" w:hAnsi="Arial"/>
          <w:sz w:val="24"/>
          <w:szCs w:val="24"/>
        </w:rPr>
        <w:t xml:space="preserve">- в графе 45 - количество договоров займа, по которым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46 - количество заемщиков по договорам займа, по которым еще не наступил льготный месячный срок, по которым наступил или истек льготный месячный срок, но по которым обязательства не погашены или заложенные вещи не проданы;</w:t>
      </w:r>
    </w:p>
    <w:p>
      <w:pPr>
        <w:spacing w:after="60"/>
        <w:ind w:firstLine="567"/>
        <w:jc w:val="both"/>
      </w:pPr>
      <w:r>
        <w:rPr>
          <w:rFonts w:ascii="Arial" w:cs="Arial" w:eastAsia="Arial" w:hAnsi="Arial"/>
          <w:sz w:val="24"/>
          <w:szCs w:val="24"/>
        </w:rPr>
        <w:t xml:space="preserve">- в графе 47 - общее число договоров займа, заключенных за отчетный период, включая количество договоров займа, заключенных в отчетном периоде, но по которым в отчетном периоде заемщики исполнили свои обязательства или заложенное имущество было продано.</w:t>
      </w:r>
    </w:p>
    <w:p>
      <w:pPr>
        <w:spacing w:after="60"/>
        <w:ind w:firstLine="567"/>
        <w:jc w:val="both"/>
      </w:pPr>
      <w:r>
        <w:rPr>
          <w:rFonts w:ascii="Arial" w:cs="Arial" w:eastAsia="Arial" w:hAnsi="Arial"/>
          <w:sz w:val="24"/>
          <w:szCs w:val="24"/>
        </w:rPr>
        <w:t xml:space="preserve">11. В подпункте 1.5 пункта 1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в графе 48 - сумма реструктурированной в отчетном периоде (квартал, полугодие, девять месяцев, год) задолженности по договорам займа. Реструктурированной считается задолженность по договорам займа, по которым в отчетном периоде изменены условия погашения (возврата) займа, при наступлении которых заемщик получает право исполнять обязательства по займу в более благоприятном режиме, в том числе увеличен срок договора, предоставлена отсрочка платежей, уменьшена процентная ставка.</w:t>
      </w:r>
    </w:p>
    <w:p>
      <w:pPr>
        <w:spacing w:after="60"/>
        <w:ind w:firstLine="567"/>
        <w:jc w:val="both"/>
      </w:pPr>
      <w:r>
        <w:rPr>
          <w:rFonts w:ascii="Arial" w:cs="Arial" w:eastAsia="Arial" w:hAnsi="Arial"/>
          <w:sz w:val="24"/>
          <w:szCs w:val="24"/>
        </w:rPr>
        <w:t xml:space="preserve">Задолженность по договору займа не является реструктурированной, если:</w:t>
      </w:r>
    </w:p>
    <w:p>
      <w:pPr>
        <w:spacing w:after="60"/>
        <w:ind w:firstLine="567"/>
        <w:jc w:val="both"/>
      </w:pPr>
      <w:r>
        <w:rPr>
          <w:rFonts w:ascii="Arial" w:cs="Arial" w:eastAsia="Arial" w:hAnsi="Arial"/>
          <w:sz w:val="24"/>
          <w:szCs w:val="24"/>
        </w:rPr>
        <w:t xml:space="preserve">договор, на основании которого заем предоставлен, содержит условия, при наступлении которых заемщик получает право исполнять обязательства по займу в более благоприятном режиме, и параметры изменения условий погашения (возврата) займа;</w:t>
      </w:r>
    </w:p>
    <w:p>
      <w:pPr>
        <w:spacing w:after="60"/>
        <w:ind w:firstLine="567"/>
        <w:jc w:val="both"/>
      </w:pPr>
      <w:r>
        <w:rPr>
          <w:rFonts w:ascii="Arial" w:cs="Arial" w:eastAsia="Arial" w:hAnsi="Arial"/>
          <w:sz w:val="24"/>
          <w:szCs w:val="24"/>
        </w:rPr>
        <w:t xml:space="preserve">в дальнейшем условия, указанные в договоре займа, наступают фактически;</w:t>
      </w:r>
    </w:p>
    <w:p>
      <w:pPr>
        <w:spacing w:after="60"/>
        <w:ind w:firstLine="567"/>
        <w:jc w:val="both"/>
      </w:pPr>
      <w:r>
        <w:rPr>
          <w:rFonts w:ascii="Arial" w:cs="Arial" w:eastAsia="Arial" w:hAnsi="Arial"/>
          <w:sz w:val="24"/>
          <w:szCs w:val="24"/>
        </w:rPr>
        <w:t xml:space="preserve">в графе 49 - сумма списанной в отчетном периоде (квартал, полугодие, девять месяцев, год) задолженности по основному долгу по договорам займа, признанной в соответствии с законодательством Кыргызской Республики безнадежной (нереальной к взысканию);</w:t>
      </w:r>
    </w:p>
    <w:p>
      <w:pPr>
        <w:spacing w:after="60"/>
        <w:ind w:firstLine="567"/>
        <w:jc w:val="both"/>
      </w:pPr>
      <w:r>
        <w:rPr>
          <w:rFonts w:ascii="Arial" w:cs="Arial" w:eastAsia="Arial" w:hAnsi="Arial"/>
          <w:sz w:val="24"/>
          <w:szCs w:val="24"/>
        </w:rPr>
        <w:t xml:space="preserve">- в графе 50 - сумма денежных средств, которая подлежит получению ломбардом в том случае, если невостребованные вещи реализованы, но оплата по данной реализации не поступила и (или) поступила частично на отчетную дату. В указанную графу включается только информация о денежных средствах, которые будут получены ломбардом в счет оплаты реализованных невостребованных вещей, для погашения задолженности по основному долгу по предоставленным займам на конец отчетного периода.</w:t>
      </w:r>
    </w:p>
    <w:p>
      <w:pPr>
        <w:spacing w:after="60"/>
        <w:ind w:firstLine="567"/>
        <w:jc w:val="both"/>
      </w:pPr>
      <w:r>
        <w:rPr>
          <w:rFonts w:ascii="Arial" w:cs="Arial" w:eastAsia="Arial" w:hAnsi="Arial"/>
          <w:sz w:val="24"/>
          <w:szCs w:val="24"/>
        </w:rPr>
        <w:t xml:space="preserve">12. В подпункте 2.1 пункта 2 раздела II Отчета указываются:</w:t>
      </w:r>
    </w:p>
    <w:p>
      <w:pPr>
        <w:spacing w:after="60"/>
        <w:ind w:firstLine="567"/>
        <w:jc w:val="both"/>
      </w:pPr>
      <w:r>
        <w:rPr>
          <w:rFonts w:ascii="Arial" w:cs="Arial" w:eastAsia="Arial" w:hAnsi="Arial"/>
          <w:sz w:val="24"/>
          <w:szCs w:val="24"/>
        </w:rPr>
        <w:t xml:space="preserve">- сумма задолженности ломбарда по договорам займа и кредитным договорам, заключенным с юридическими лицами, по состоянию на конец отчетного периода (совокупные остатки по соответствующим счетам);</w:t>
      </w:r>
    </w:p>
    <w:p>
      <w:pPr>
        <w:spacing w:after="60"/>
        <w:ind w:firstLine="567"/>
        <w:jc w:val="both"/>
      </w:pPr>
      <w:r>
        <w:rPr>
          <w:rFonts w:ascii="Arial" w:cs="Arial" w:eastAsia="Arial" w:hAnsi="Arial"/>
          <w:sz w:val="24"/>
          <w:szCs w:val="24"/>
        </w:rPr>
        <w:t xml:space="preserve">- "Расчеты по краткосрочным кредитам и займам" и "Расчеты по долгосрочным кредитам и займам" по данным бухгалтерского учета с выделением суммы задолженности по основному долгу по кредитным договорам (договорам займа) и по процентам по кредитным договорам (договорам займа). Сумма задолженности ломбарда по кредитным договорам, заключенным с юридическими лицами - кредитными организациями, включается в общую сумму задолженности по договорам займа и кредитным договорам, заключенным с юридическими лицами, а также указывается в графах 56-58;</w:t>
      </w:r>
    </w:p>
    <w:p>
      <w:pPr>
        <w:spacing w:after="60"/>
        <w:ind w:firstLine="567"/>
        <w:jc w:val="both"/>
      </w:pPr>
      <w:r>
        <w:rPr>
          <w:rFonts w:ascii="Arial" w:cs="Arial" w:eastAsia="Arial" w:hAnsi="Arial"/>
          <w:sz w:val="24"/>
          <w:szCs w:val="24"/>
        </w:rPr>
        <w:t xml:space="preserve">- сумма денежных средств, предоставленных ломбарду юридическими лицами по договорам займа и кредитным договорам в отчетном периоде (квартал, полугодие, девять месяцев, год), в которую включается информация как по действующим договорам займа и кредитным договорам, так и по договорам займа и кредитным договорам, по которым обязательства на конец отчетного периода были погашены. Информация о сумме денежных средств, предоставленных ломбарду кредитными организациями, указывается в общей сумме денежных средств, предоставленных ломбарду юридическими лицами по договорам займа и кредитным договорам, так и в графе 59;</w:t>
      </w:r>
    </w:p>
    <w:p>
      <w:pPr>
        <w:spacing w:after="60"/>
        <w:ind w:firstLine="567"/>
        <w:jc w:val="both"/>
      </w:pPr>
      <w:r>
        <w:rPr>
          <w:rFonts w:ascii="Arial" w:cs="Arial" w:eastAsia="Arial" w:hAnsi="Arial"/>
          <w:sz w:val="24"/>
          <w:szCs w:val="24"/>
        </w:rPr>
        <w:t xml:space="preserve">- количество юридических лиц, предоставивших ломбарду денежные средства по договорам займа и кредитным договорам за отчетный период (квартал, полугодие, девять месяцев, год), в которое также включается количество кредитных организаций, предоставивших ломбарду денежные средства по договорам займа и кредитным договорам. Помимо этого, количество кредитных организаций, предоставивших ломбарду денежные средства по договорам займа и кредитным договорам, указывается в графе 60.</w:t>
      </w:r>
    </w:p>
    <w:p>
      <w:pPr>
        <w:spacing w:after="60"/>
        <w:ind w:firstLine="567"/>
        <w:jc w:val="both"/>
      </w:pPr>
      <w:r>
        <w:rPr>
          <w:rFonts w:ascii="Arial" w:cs="Arial" w:eastAsia="Arial" w:hAnsi="Arial"/>
          <w:sz w:val="24"/>
          <w:szCs w:val="24"/>
        </w:rPr>
        <w:t xml:space="preserve">В графу 51 включается информация по действующим договорам займа и кредитным договорам, так и по договорам займа и кредитным договорам, по которым обязательства на конец отчетного периода были погашены.</w:t>
      </w:r>
    </w:p>
    <w:p>
      <w:pPr>
        <w:spacing w:after="60"/>
        <w:ind w:firstLine="567"/>
        <w:jc w:val="both"/>
      </w:pPr>
      <w:r>
        <w:rPr>
          <w:rFonts w:ascii="Arial" w:cs="Arial" w:eastAsia="Arial" w:hAnsi="Arial"/>
          <w:sz w:val="24"/>
          <w:szCs w:val="24"/>
        </w:rPr>
        <w:t xml:space="preserve">13. В подпункте 2.2 пункта 2 раздела </w:t>
      </w:r>
      <w:r>
        <w:rPr>
          <w:rFonts w:ascii="Arial" w:cs="Arial" w:eastAsia="Arial" w:hAnsi="Arial"/>
          <w:sz w:val="24"/>
          <w:szCs w:val="24"/>
        </w:rPr>
        <w:t xml:space="preserve">II</w:t>
      </w:r>
      <w:r>
        <w:rPr>
          <w:rFonts w:ascii="Arial" w:cs="Arial" w:eastAsia="Arial" w:hAnsi="Arial"/>
          <w:sz w:val="24"/>
          <w:szCs w:val="24"/>
        </w:rPr>
        <w:t xml:space="preserve"> Отчета указываются:</w:t>
      </w:r>
    </w:p>
    <w:p>
      <w:pPr>
        <w:spacing w:after="60"/>
        <w:ind w:firstLine="567"/>
        <w:jc w:val="both"/>
      </w:pPr>
      <w:r>
        <w:rPr>
          <w:rFonts w:ascii="Arial" w:cs="Arial" w:eastAsia="Arial" w:hAnsi="Arial"/>
          <w:sz w:val="24"/>
          <w:szCs w:val="24"/>
        </w:rPr>
        <w:t xml:space="preserve">- сумма задолженности ломбарда по основному долгу и процентам на конец отчетного периода по договорам займа, заключенным с физическими лицами, являющимися учредителями (членами, участниками) ломбарда;</w:t>
      </w:r>
    </w:p>
    <w:p>
      <w:pPr>
        <w:spacing w:after="60"/>
        <w:ind w:firstLine="567"/>
        <w:jc w:val="both"/>
      </w:pPr>
      <w:r>
        <w:rPr>
          <w:rFonts w:ascii="Arial" w:cs="Arial" w:eastAsia="Arial" w:hAnsi="Arial"/>
          <w:sz w:val="24"/>
          <w:szCs w:val="24"/>
        </w:rPr>
        <w:t xml:space="preserve">- сумма денежных средств, предоставленных в отчетном периоде ломбарду по договорам займа физическими лицами, являющимися учредителями (членами, участниками) ломбарда, включая информацию о договорах, по которым ломбард исполнил свои обязательства в отчетном периоде;</w:t>
      </w:r>
    </w:p>
    <w:p>
      <w:pPr>
        <w:spacing w:after="60"/>
        <w:ind w:firstLine="567"/>
        <w:jc w:val="both"/>
      </w:pPr>
      <w:r>
        <w:rPr>
          <w:rFonts w:ascii="Arial" w:cs="Arial" w:eastAsia="Arial" w:hAnsi="Arial"/>
          <w:sz w:val="24"/>
          <w:szCs w:val="24"/>
        </w:rPr>
        <w:t xml:space="preserve">- количество физических лиц, являющихся учредителями (членами, участниками), предоставивших за отчетный период денежные средства ломбарду по договорам займа, включая информацию о договорах, по которым ломбард исполнил свои обязательства в отчетном периоде.</w:t>
      </w:r>
    </w:p>
    <w:p>
      <w:pPr>
        <w:spacing w:after="60"/>
        <w:ind w:firstLine="567"/>
        <w:jc w:val="both"/>
      </w:pPr>
      <w:r>
        <w:rPr>
          <w:rFonts w:ascii="Arial" w:cs="Arial" w:eastAsia="Arial" w:hAnsi="Arial"/>
          <w:sz w:val="24"/>
          <w:szCs w:val="24"/>
        </w:rPr>
        <w:t xml:space="preserve">14. В подпункте 2.3 пункта 2 раздела II Отчета указывается следующая информация:</w:t>
      </w:r>
    </w:p>
    <w:p>
      <w:pPr>
        <w:spacing w:after="60"/>
        <w:ind w:firstLine="567"/>
        <w:jc w:val="both"/>
      </w:pPr>
      <w:r>
        <w:rPr>
          <w:rFonts w:ascii="Arial" w:cs="Arial" w:eastAsia="Arial" w:hAnsi="Arial"/>
          <w:sz w:val="24"/>
          <w:szCs w:val="24"/>
        </w:rPr>
        <w:t xml:space="preserve">- общая сумма денежных средств, привлеченных ломбардом за отчетный период, в состав которой включается информация как по действующим договорам займа и кредитным договорам, так и по заключенным в отчетном периоде договорам займа и кредитным договорам, по которым обязательства на конец отчетного периода были погашены;</w:t>
      </w:r>
    </w:p>
    <w:p>
      <w:pPr>
        <w:spacing w:after="60"/>
        <w:ind w:firstLine="567"/>
        <w:jc w:val="both"/>
      </w:pPr>
      <w:r>
        <w:rPr>
          <w:rFonts w:ascii="Arial" w:cs="Arial" w:eastAsia="Arial" w:hAnsi="Arial"/>
          <w:sz w:val="24"/>
          <w:szCs w:val="24"/>
        </w:rPr>
        <w:t xml:space="preserve">- общее количество договоров займа и кредитных договоров, заключенных ломбардом за отчетный период. В состав договоров займа и кредитных договоров, заключенных ломбардом за отчетный период, включается информация как о действующих договорах займа и кредитных договорах, так и о договорах займа и кредитных договорах, обязательства по которым на конец отчетного периода были погашены в полном объеме;</w:t>
      </w:r>
    </w:p>
    <w:p>
      <w:pPr>
        <w:spacing w:after="60"/>
        <w:ind w:firstLine="567"/>
        <w:jc w:val="both"/>
      </w:pPr>
      <w:r>
        <w:rPr>
          <w:rFonts w:ascii="Arial" w:cs="Arial" w:eastAsia="Arial" w:hAnsi="Arial"/>
          <w:sz w:val="24"/>
          <w:szCs w:val="24"/>
        </w:rPr>
        <w:t xml:space="preserve">- сумма задолженности по основному долгу по займам и кредитам, привлеченным ломбардом на конец отчетного периода.</w:t>
      </w:r>
    </w:p>
    <w:p>
      <w:pPr>
        <w:spacing w:after="60"/>
        <w:ind w:firstLine="567"/>
        <w:jc w:val="both"/>
      </w:pPr>
      <w:r>
        <w:rPr>
          <w:rFonts w:ascii="Arial" w:cs="Arial" w:eastAsia="Arial" w:hAnsi="Arial"/>
          <w:sz w:val="24"/>
          <w:szCs w:val="24"/>
        </w:rPr>
        <w:t xml:space="preserve">15. В пункте 3 раздела II Отчета указываются:</w:t>
      </w:r>
    </w:p>
    <w:p>
      <w:pPr>
        <w:spacing w:after="60"/>
        <w:ind w:firstLine="567"/>
        <w:jc w:val="both"/>
      </w:pPr>
      <w:r>
        <w:rPr>
          <w:rFonts w:ascii="Arial" w:cs="Arial" w:eastAsia="Arial" w:hAnsi="Arial"/>
          <w:sz w:val="24"/>
          <w:szCs w:val="24"/>
        </w:rPr>
        <w:t xml:space="preserve">- общее количество договоров страхования вещей, принятых в залог, заключенных ломбардом в отчетном периоде;</w:t>
      </w:r>
    </w:p>
    <w:p>
      <w:pPr>
        <w:spacing w:after="60"/>
        <w:ind w:firstLine="567"/>
        <w:jc w:val="both"/>
      </w:pPr>
      <w:r>
        <w:rPr>
          <w:rFonts w:ascii="Arial" w:cs="Arial" w:eastAsia="Arial" w:hAnsi="Arial"/>
          <w:sz w:val="24"/>
          <w:szCs w:val="24"/>
        </w:rPr>
        <w:t xml:space="preserve">- сумма денежных средств, уплаченных в отчетном периоде страховым организациям в счет страховой премии (страховых взносов) по договорам страхования вещей, принятых в залог;</w:t>
      </w:r>
    </w:p>
    <w:p>
      <w:pPr>
        <w:spacing w:after="60"/>
        <w:ind w:firstLine="567"/>
        <w:jc w:val="both"/>
      </w:pPr>
      <w:r>
        <w:rPr>
          <w:rFonts w:ascii="Arial" w:cs="Arial" w:eastAsia="Arial" w:hAnsi="Arial"/>
          <w:sz w:val="24"/>
          <w:szCs w:val="24"/>
        </w:rPr>
        <w:t xml:space="preserve">- страховая сумма, на которую застрахованы вещи, принятые в залог, согласно условиям договора страхования, на конец отчетного периода;</w:t>
      </w:r>
    </w:p>
    <w:p>
      <w:pPr>
        <w:spacing w:after="60"/>
        <w:ind w:firstLine="567"/>
        <w:jc w:val="both"/>
      </w:pPr>
      <w:r>
        <w:rPr>
          <w:rFonts w:ascii="Arial" w:cs="Arial" w:eastAsia="Arial" w:hAnsi="Arial"/>
          <w:sz w:val="24"/>
          <w:szCs w:val="24"/>
        </w:rPr>
        <w:t xml:space="preserve">- количество наступивших в отчетном периоде страховых случаев по договорам страхования вещей, принятых в залог;</w:t>
      </w:r>
    </w:p>
    <w:p>
      <w:pPr>
        <w:spacing w:after="60"/>
        <w:ind w:firstLine="567"/>
        <w:jc w:val="both"/>
      </w:pPr>
      <w:r>
        <w:rPr>
          <w:rFonts w:ascii="Arial" w:cs="Arial" w:eastAsia="Arial" w:hAnsi="Arial"/>
          <w:sz w:val="24"/>
          <w:szCs w:val="24"/>
        </w:rPr>
        <w:t xml:space="preserve">- сумма осуществленных страховыми организациями выплат по страховым случаям по договорам страхования вещей, принятых в залог.</w:t>
      </w:r>
    </w:p>
    <w:p>
      <w:pPr>
        <w:spacing w:after="60"/>
        <w:ind w:firstLine="567"/>
        <w:jc w:val="both"/>
      </w:pPr>
      <w:r>
        <w:rPr>
          <w:rFonts w:ascii="Arial" w:cs="Arial" w:eastAsia="Arial" w:hAnsi="Arial"/>
          <w:sz w:val="24"/>
          <w:szCs w:val="24"/>
        </w:rPr>
        <w:t xml:space="preserve">16. В пункте 4 раздела II Отчета указываются сведения о количестве договоров хранения вещей, заключенных за отчетный период, об общей сумме денежных средств, полученных за отчетный период ломбардом, по договорам хранения вещей, а также о чистой прибыли (об убытке) по всем видам деятельности ломбарда, разрешенным законодательством Кыргызской Республики о ломбардах. Сведения об убытках указываются в скобках.</w:t>
      </w:r>
    </w:p>
    <w:p>
      <w:pPr>
        <w:spacing w:after="60"/>
        <w:ind w:firstLine="567"/>
        <w:jc w:val="both"/>
      </w:pPr>
      <w:r>
        <w:rPr>
          <w:rFonts w:ascii="Arial" w:cs="Arial" w:eastAsia="Arial" w:hAnsi="Arial"/>
          <w:sz w:val="24"/>
          <w:szCs w:val="24"/>
        </w:rPr>
        <w:t xml:space="preserve">17. В разделе III Отчета показатели формируются на основании данных бухгалтерского учета. При заполнении раздела III отчета о деятельности ломбарда в случае отсутствия значения показателя по строке в графе "Значение показателя" ставится ноль (0), при наличии значения показателя в графе "Значение показателя" данные по суммам заполняются в тысячах сомах, с округлением до целых чисел. Отрицательные значения указываются в скобках.</w:t>
      </w:r>
    </w:p>
    <w:p>
      <w:pPr>
        <w:spacing w:after="60"/>
        <w:ind w:firstLine="567"/>
        <w:jc w:val="both"/>
      </w:pPr>
      <w:r>
        <w:rPr>
          <w:rFonts w:ascii="Arial" w:cs="Arial" w:eastAsia="Arial" w:hAnsi="Arial"/>
          <w:sz w:val="24"/>
          <w:szCs w:val="24"/>
        </w:rPr>
        <w:t xml:space="preserve">В разделе III Отчета все сведения приводятся по состоянию на последний календарный день отчетного периода.</w:t>
      </w:r>
    </w:p>
    <w:p>
      <w:pPr>
        <w:spacing w:after="60"/>
        <w:ind w:firstLine="567"/>
        <w:jc w:val="both"/>
      </w:pPr>
      <w:r>
        <w:rPr>
          <w:rFonts w:ascii="Arial" w:cs="Arial" w:eastAsia="Arial" w:hAnsi="Arial"/>
          <w:sz w:val="24"/>
          <w:szCs w:val="24"/>
        </w:rPr>
        <w:t xml:space="preserve">В строке 1.6 раздела III Отчета указываются сведения обо всех активах ломбарда, не включенных в строки 1.1-1.5.2 раздела III Отчета.</w:t>
      </w:r>
    </w:p>
    <w:p>
      <w:pPr>
        <w:spacing w:after="60"/>
        <w:ind w:firstLine="567"/>
        <w:jc w:val="both"/>
      </w:pPr>
      <w:r>
        <w:rPr>
          <w:rFonts w:ascii="Arial" w:cs="Arial" w:eastAsia="Arial" w:hAnsi="Arial"/>
          <w:sz w:val="24"/>
          <w:szCs w:val="24"/>
        </w:rPr>
        <w:t xml:space="preserve">В строке 2.5 раздела III Отчета указываются сведения о составляющих капитала ломбарда, не включенных в строки 2.1-2.4 раздела III Отчета.</w:t>
      </w:r>
    </w:p>
    <w:p>
      <w:pPr>
        <w:spacing w:after="60"/>
        <w:ind w:firstLine="567"/>
        <w:jc w:val="both"/>
      </w:pPr>
      <w:r>
        <w:rPr>
          <w:rFonts w:ascii="Arial" w:cs="Arial" w:eastAsia="Arial" w:hAnsi="Arial"/>
          <w:sz w:val="24"/>
          <w:szCs w:val="24"/>
        </w:rPr>
        <w:t xml:space="preserve">В строке 3.3 раздела III Отчета указываются сведения обо всех обязательствах ломбарда, не включенных в строки 3.1-3.2 раздела III Отчета.</w:t>
      </w:r>
    </w:p>
    <w:p>
      <w:pPr>
        <w:spacing w:after="60"/>
        <w:ind w:firstLine="567"/>
        <w:jc w:val="both"/>
      </w:pPr>
      <w:r>
        <w:rPr>
          <w:rFonts w:ascii="Arial" w:cs="Arial" w:eastAsia="Arial" w:hAnsi="Arial"/>
          <w:sz w:val="24"/>
          <w:szCs w:val="24"/>
        </w:rPr>
        <w:t xml:space="preserve">18. В разделе IV Отчета указываются следующие сведения в национальной валюте Кыргызской Республики:</w:t>
      </w:r>
    </w:p>
    <w:p>
      <w:pPr>
        <w:spacing w:after="60"/>
        <w:ind w:firstLine="567"/>
        <w:jc w:val="both"/>
      </w:pPr>
      <w:r>
        <w:rPr>
          <w:rFonts w:ascii="Arial" w:cs="Arial" w:eastAsia="Arial" w:hAnsi="Arial"/>
          <w:sz w:val="24"/>
          <w:szCs w:val="24"/>
        </w:rPr>
        <w:t xml:space="preserve">- остаток наличных денежных средств в кассе на начало последнего квартала отчетного периода, сумма наличных денежных средств, поступивших в кассу в течение последнего квартала отчетного периода, сумма наличных денежных средств, выданных из кассы в течение последнего квартала отчетного периода, и остаток наличных денежных средств в кассе на конец последнего квартала отчетного периода согласно данным бухгалтерского учета ломбарда;</w:t>
      </w:r>
    </w:p>
    <w:p>
      <w:pPr>
        <w:spacing w:after="60"/>
        <w:ind w:firstLine="567"/>
        <w:jc w:val="both"/>
      </w:pPr>
      <w:r>
        <w:rPr>
          <w:rFonts w:ascii="Arial" w:cs="Arial" w:eastAsia="Arial" w:hAnsi="Arial"/>
          <w:sz w:val="24"/>
          <w:szCs w:val="24"/>
        </w:rPr>
        <w:t xml:space="preserve">- остаток денежных средств на банковских счетах, открытых в национальной и иностранной валютах, на начало последнего квартала отчетного периода, сумма денежных средств, поступивших на банковские счета, открытые в национальной и иностранной валютах, в течение последнего квартала отчетного периода, сумма денежных средств, перечисленных с банковских счетов, открытых в национальной и иностранной валютах, в течение последнего квартала отчетного периода и остаток денежных средств на банковских счетах, открытых в национальной и иностранной валютах, на конец последнего квартала отчетного периода согласно данным бухгалтерского учета ломбарда.</w:t>
      </w:r>
    </w:p>
    <w:p>
      <w:pPr>
        <w:spacing w:after="60"/>
        <w:ind w:firstLine="567"/>
        <w:jc w:val="both"/>
      </w:pPr>
      <w:r>
        <w:rPr>
          <w:rFonts w:ascii="Arial" w:cs="Arial" w:eastAsia="Arial" w:hAnsi="Arial"/>
          <w:sz w:val="24"/>
          <w:szCs w:val="24"/>
        </w:rPr>
        <w:t xml:space="preserve">Остатки денежных средств на банковских счетах, открытых в иностранной валюте, на начало и конец последнего квартала отчетного периода отражаются в сомовом эквиваленте, определяемом по официальному курсу иностранной валюты по отношению к сому, установленному Национальным банком Кыргызской Республики, на дату начала и окончания последнего квартала отчетного периода соответственно. Сведения о поступлении и выбытии денежных средств отражаются в сомовом эквиваленте, определяемом по официальному курсу иностранной валюты по отношению к сому, установленному Национальным банком Кыргызской Республики, на дату совершения операции.</w:t>
      </w:r>
    </w:p>
    <w:p>
      <w:pPr>
        <w:spacing w:after="60"/>
        <w:ind w:firstLine="567"/>
        <w:jc w:val="both"/>
      </w:pPr>
      <w:r>
        <w:rPr>
          <w:rFonts w:ascii="Arial" w:cs="Arial" w:eastAsia="Arial" w:hAnsi="Arial"/>
          <w:sz w:val="24"/>
          <w:szCs w:val="24"/>
        </w:rPr>
        <w:t xml:space="preserve">В строке "Расчетные счета" раздела IV Отчета указываются сведения об операциях с денежными средствами по банковским счетам, открытым в национальной валюте Кыргызской Республики.</w:t>
      </w:r>
    </w:p>
    <w:p>
      <w:pPr>
        <w:spacing w:after="60"/>
        <w:ind w:firstLine="567"/>
        <w:jc w:val="both"/>
      </w:pPr>
      <w:r>
        <w:rPr>
          <w:rFonts w:ascii="Arial" w:cs="Arial" w:eastAsia="Arial" w:hAnsi="Arial"/>
          <w:sz w:val="24"/>
          <w:szCs w:val="24"/>
        </w:rPr>
        <w:t xml:space="preserve">В строке "Валютные счета" раздела IV Отчета указываются сведения об операциях с денежными средствами по банковским счетам, открытым в иностранной валюте.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Инструкции о формах, сроках и порядке составления и представления в уполномоченный орган, регулирующий ломбардную деятельность документов, содержащих отчет о деятельности ломбарда и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ОТЧЕТ
 о персональном составе руководящих органов ломбарда</w:t>
      </w:r>
    </w:p>
    <w:p>
      <w:pPr>
        <w:spacing w:after="60"/>
        <w:jc w:val="center"/>
      </w:pPr>
      <w:r>
        <w:rPr>
          <w:rFonts w:ascii="Arial" w:cs="Arial" w:eastAsia="Arial" w:hAnsi="Arial"/>
          <w:sz w:val="24"/>
          <w:szCs w:val="24"/>
        </w:rPr>
        <w:t xml:space="preserve">по состоянию на "___" ___________________ г.</w:t>
      </w:r>
    </w:p>
    <w:p>
      <w:pPr>
        <w:spacing w:after="240" w:before="240"/>
        <w:ind w:firstLine="567"/>
        <w:jc w:val="right"/>
      </w:pPr>
      <w:r>
        <w:rPr>
          <w:rFonts w:ascii="Arial" w:cs="Arial" w:eastAsia="Arial" w:hAnsi="Arial"/>
          <w:sz w:val="24"/>
          <w:szCs w:val="24"/>
        </w:rPr>
        <w:t xml:space="preserve">Годовая/На нерегулярной основе</w:t>
      </w:r>
    </w:p>
    <w:p>
      <w:pPr>
        <w:spacing w:after="120"/>
        <w:ind w:firstLine="567"/>
        <w:jc w:val="both"/>
      </w:pPr>
      <w:r>
        <w:rPr>
          <w:rFonts w:ascii="Arial" w:cs="Arial" w:eastAsia="Arial" w:hAnsi="Arial"/>
          <w:sz w:val="24"/>
          <w:szCs w:val="24"/>
        </w:rPr>
        <w:t xml:space="preserve">Раздел I. Общие сведения о ломбарде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8"/>
        <w:gridCol w:w="6911"/>
        <w:gridCol w:w="1549"/>
      </w:tblGrid>
      <w:tr>
        <w:tc>
          <w:tcPr>
            <w:tcW w:type="dxa" w:w="17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6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сведений</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w:t>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организационно-правовой формы ломбарда по ОКПО</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ломбарда</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Раздел II. Сведения о персональном составе руководящих органов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5499"/>
        <w:gridCol w:w="3675"/>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5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строки</w:t>
            </w:r>
          </w:p>
        </w:tc>
        <w:tc>
          <w:tcPr>
            <w:tcW w:type="dxa" w:w="3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лицах, входящих в персональный состав руководящих органов ломбарда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1. Сведения о лице, имеющем право без доверенности действовать от имени организации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2. Сведения о персональном составе органов управления ломбарда (при наличии)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3. Сведения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иным соглашением, предметом которого является осуществление прав, удостоверенных долями ломбарда, имеют право распоряжения 10 и более процентами голосов, приходящихся на голосующие доли, составляющие уставный капитал ломбарда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фирменное наименование организации или фамилия, имя, отчество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для юридического лица, адрес места регистрации для физического лица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для направления почтовой корреспонденции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организации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голосов, приходящихся на голосующие доли, составляющие уставный капитал ломбарда, которыми лицо имеет право распоряжаться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4. Сведения о лице (лицах), ответственном (ответственных) за соблюдение правил внутреннего контроля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предоставляющего полномочия</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5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w:t>
            </w:r>
          </w:p>
        </w:tc>
        <w:tc>
          <w:tcPr>
            <w:tcW w:type="dxa" w:w="3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 (ФИО)</w:t>
      </w:r>
    </w:p>
    <w:p>
      <w:pPr>
        <w:spacing w:after="400" w:before="400"/>
        <w:jc w:val="center"/>
      </w:pPr>
      <w:r>
        <w:rPr>
          <w:rFonts w:ascii="Arial" w:cs="Arial" w:eastAsia="Arial" w:hAnsi="Arial"/>
          <w:b/>
          <w:bCs/>
          <w:sz w:val="32"/>
          <w:szCs w:val="32"/>
        </w:rPr>
        <w:t xml:space="preserve">ПОРЯДОК
 составления отчетности по форме "Отчет о персональном составе руководящих органов ломбарда"</w:t>
      </w:r>
    </w:p>
    <w:p>
      <w:pPr>
        <w:spacing w:after="60"/>
        <w:ind w:firstLine="567"/>
        <w:jc w:val="both"/>
      </w:pPr>
      <w:r>
        <w:rPr>
          <w:rFonts w:ascii="Arial" w:cs="Arial" w:eastAsia="Arial" w:hAnsi="Arial"/>
          <w:sz w:val="24"/>
          <w:szCs w:val="24"/>
        </w:rPr>
        <w:t xml:space="preserve">1. Данные в отчете о персональном составе руководящих органов ломбарда (далее - Отчет) отражаются по состоянию на последний календарный день отчетного периода или на дату изменения сведений.</w:t>
      </w:r>
    </w:p>
    <w:p>
      <w:pPr>
        <w:spacing w:after="60"/>
        <w:ind w:firstLine="567"/>
        <w:jc w:val="both"/>
      </w:pPr>
      <w:r>
        <w:rPr>
          <w:rFonts w:ascii="Arial" w:cs="Arial" w:eastAsia="Arial" w:hAnsi="Arial"/>
          <w:sz w:val="24"/>
          <w:szCs w:val="24"/>
        </w:rPr>
        <w:t xml:space="preserve">2. В разделе I Отчета отражаются сведения, соответствующие данным, указанным в уставе ломбарда, а также иных учредительных документах ломбарда, свидетельстве о постановке на учет в налоговом органе юридического лица,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 полное фирменное наименование ломбарда, соответствующее наименованию, указанному в его учредительных документах;</w:t>
      </w:r>
    </w:p>
    <w:p>
      <w:pPr>
        <w:spacing w:after="60"/>
        <w:ind w:firstLine="567"/>
        <w:jc w:val="both"/>
      </w:pPr>
      <w:r>
        <w:rPr>
          <w:rFonts w:ascii="Arial" w:cs="Arial" w:eastAsia="Arial" w:hAnsi="Arial"/>
          <w:sz w:val="24"/>
          <w:szCs w:val="24"/>
        </w:rPr>
        <w:t xml:space="preserve">- код организационно-правовой формы ломбарда согласно Общереспубликанскому классификатору организационно-правовых форм;</w:t>
      </w:r>
    </w:p>
    <w:p>
      <w:pPr>
        <w:spacing w:after="60"/>
        <w:ind w:firstLine="567"/>
        <w:jc w:val="both"/>
      </w:pPr>
      <w:r>
        <w:rPr>
          <w:rFonts w:ascii="Arial" w:cs="Arial" w:eastAsia="Arial" w:hAnsi="Arial"/>
          <w:sz w:val="24"/>
          <w:szCs w:val="24"/>
        </w:rPr>
        <w:t xml:space="preserve">- идентификационный номер налогоплательщика (ИНН) (ломбарда) - номер, указанный в свидетельстве о постановке на учет юридического лица в налоговом органе;</w:t>
      </w:r>
    </w:p>
    <w:p>
      <w:pPr>
        <w:spacing w:after="60"/>
        <w:ind w:firstLine="567"/>
        <w:jc w:val="both"/>
      </w:pPr>
      <w:r>
        <w:rPr>
          <w:rFonts w:ascii="Arial" w:cs="Arial" w:eastAsia="Arial" w:hAnsi="Arial"/>
          <w:sz w:val="24"/>
          <w:szCs w:val="24"/>
        </w:rPr>
        <w:t xml:space="preserve">- государственный регистрационный номер ломбарда - номер, указанный в свидетельстве о государственной регистрации юридического лица.</w:t>
      </w:r>
    </w:p>
    <w:p>
      <w:pPr>
        <w:spacing w:after="60"/>
        <w:ind w:firstLine="567"/>
        <w:jc w:val="both"/>
      </w:pPr>
      <w:r>
        <w:rPr>
          <w:rFonts w:ascii="Arial" w:cs="Arial" w:eastAsia="Arial" w:hAnsi="Arial"/>
          <w:sz w:val="24"/>
          <w:szCs w:val="24"/>
        </w:rPr>
        <w:t xml:space="preserve">3. В разделе II Отчета сведения указываются по состоянию на последний календарный день отчетного периода включительно.</w:t>
      </w:r>
    </w:p>
    <w:p>
      <w:pPr>
        <w:spacing w:after="60"/>
        <w:ind w:firstLine="567"/>
        <w:jc w:val="both"/>
      </w:pPr>
      <w:r>
        <w:rPr>
          <w:rFonts w:ascii="Arial" w:cs="Arial" w:eastAsia="Arial" w:hAnsi="Arial"/>
          <w:sz w:val="24"/>
          <w:szCs w:val="24"/>
        </w:rPr>
        <w:t xml:space="preserve">В строках 2.1, 2.11, 2.20 и 2.29 отчество указывается при его наличии.</w:t>
      </w:r>
    </w:p>
    <w:p>
      <w:pPr>
        <w:spacing w:after="60"/>
        <w:ind w:firstLine="567"/>
        <w:jc w:val="both"/>
      </w:pPr>
      <w:r>
        <w:rPr>
          <w:rFonts w:ascii="Arial" w:cs="Arial" w:eastAsia="Arial" w:hAnsi="Arial"/>
          <w:sz w:val="24"/>
          <w:szCs w:val="24"/>
        </w:rPr>
        <w:t xml:space="preserve">Для иностранного гражданина фамилия и имя дополнительно указываются латинскими буквами на основании сведений, содержащихся в документе, в соответствии с вступившим в установленном порядке в силу международным договором, участницей которого является Кыргызская Республика, в качестве документа, удостоверяющего личность иностранного гражданина.</w:t>
      </w:r>
    </w:p>
    <w:p>
      <w:pPr>
        <w:spacing w:after="60"/>
        <w:ind w:firstLine="567"/>
        <w:jc w:val="both"/>
      </w:pPr>
      <w:r>
        <w:rPr>
          <w:rFonts w:ascii="Arial" w:cs="Arial" w:eastAsia="Arial" w:hAnsi="Arial"/>
          <w:sz w:val="24"/>
          <w:szCs w:val="24"/>
        </w:rPr>
        <w:t xml:space="preserve">В строках 2.3, 2.13, 2.22 и 2.31 при отсутствии гражданства указывается "лицо без гражданства".</w:t>
      </w:r>
    </w:p>
    <w:p>
      <w:pPr>
        <w:spacing w:after="60"/>
        <w:ind w:firstLine="567"/>
        <w:jc w:val="both"/>
      </w:pPr>
      <w:r>
        <w:rPr>
          <w:rFonts w:ascii="Arial" w:cs="Arial" w:eastAsia="Arial" w:hAnsi="Arial"/>
          <w:sz w:val="24"/>
          <w:szCs w:val="24"/>
        </w:rPr>
        <w:t xml:space="preserve">В строках 2.4, 2.14, 2.23 и 2.32 указываются вид и реквизиты документа, в соответствии с вступившим в установленном порядке в силу международным договором, участницей которого является Кыргызская Республика в качестве документа, удостоверяющего личность иностранного гражданина.</w:t>
      </w:r>
    </w:p>
    <w:p>
      <w:pPr>
        <w:spacing w:after="60"/>
        <w:ind w:firstLine="567"/>
        <w:jc w:val="both"/>
      </w:pPr>
      <w:r>
        <w:rPr>
          <w:rFonts w:ascii="Arial" w:cs="Arial" w:eastAsia="Arial" w:hAnsi="Arial"/>
          <w:sz w:val="24"/>
          <w:szCs w:val="24"/>
        </w:rPr>
        <w:t xml:space="preserve">В строках 2.5, 2.15, 2.24 и 2.33 в качестве адреса места регистрации указываются наименование регистрирующего органа, района, города (иного населенного пункта), улицы и номер дома. Для иностранных граждан также указываются вид, реквизиты и срок действия документа, подтверждающего право законно находиться на территории Кыргызской Республики.</w:t>
      </w:r>
    </w:p>
    <w:p>
      <w:pPr>
        <w:spacing w:after="60"/>
        <w:ind w:firstLine="567"/>
        <w:jc w:val="both"/>
      </w:pPr>
      <w:r>
        <w:rPr>
          <w:rFonts w:ascii="Arial" w:cs="Arial" w:eastAsia="Arial" w:hAnsi="Arial"/>
          <w:sz w:val="24"/>
          <w:szCs w:val="24"/>
        </w:rPr>
        <w:t xml:space="preserve">В строках 2.10 и 2.19 указываются полное наименование организации (полные наименования организаций), в которой (которых) лицо работало последние три года, ИНН организации (организаций) и место нахождения организации (организаций). Если организация являлась иностранной, допускается заполнение строк латинскими буквами. Если лицо последние три года не работало, в строке указывается "не работал" или "не работала".</w:t>
      </w:r>
    </w:p>
    <w:p>
      <w:pPr>
        <w:spacing w:after="60"/>
        <w:ind w:firstLine="567"/>
        <w:jc w:val="both"/>
      </w:pPr>
      <w:r>
        <w:rPr>
          <w:rFonts w:ascii="Arial" w:cs="Arial" w:eastAsia="Arial" w:hAnsi="Arial"/>
          <w:sz w:val="24"/>
          <w:szCs w:val="24"/>
        </w:rPr>
        <w:t xml:space="preserve">4. В пункте 2 раздела II Отчета указываются сведения обо всех членах органов управления (общего собрания и (или) коллегиального исполнительного органа) ломбарда по каждому органу управления (при наличии).</w:t>
      </w:r>
    </w:p>
    <w:p>
      <w:pPr>
        <w:spacing w:after="60"/>
        <w:ind w:firstLine="567"/>
        <w:jc w:val="both"/>
      </w:pPr>
      <w:r>
        <w:rPr>
          <w:rFonts w:ascii="Arial" w:cs="Arial" w:eastAsia="Arial" w:hAnsi="Arial"/>
          <w:sz w:val="24"/>
          <w:szCs w:val="24"/>
        </w:rPr>
        <w:t xml:space="preserve">Если член органа управления не является работником ломбарда, в строках 2.9, 2.18 и 2.37 указывается его отношение к этой организации (например, учредитель, представитель учредителя).</w:t>
      </w:r>
    </w:p>
    <w:p>
      <w:pPr>
        <w:spacing w:after="60"/>
        <w:ind w:firstLine="567"/>
        <w:jc w:val="both"/>
      </w:pPr>
      <w:r>
        <w:rPr>
          <w:rFonts w:ascii="Arial" w:cs="Arial" w:eastAsia="Arial" w:hAnsi="Arial"/>
          <w:sz w:val="24"/>
          <w:szCs w:val="24"/>
        </w:rPr>
        <w:t xml:space="preserve">5. В пункте 3 раздела II Отчета указываются сведения обо всех лицах, имеющих право распоряжения 10 и более процентами голосов, приходящихся на голосующие доли, составляющие уставный капитал ломбарда.</w:t>
      </w:r>
    </w:p>
    <w:p>
      <w:pPr>
        <w:spacing w:after="60"/>
        <w:ind w:firstLine="567"/>
        <w:jc w:val="both"/>
      </w:pPr>
      <w:r>
        <w:rPr>
          <w:rFonts w:ascii="Arial" w:cs="Arial" w:eastAsia="Arial" w:hAnsi="Arial"/>
          <w:sz w:val="24"/>
          <w:szCs w:val="24"/>
        </w:rPr>
        <w:t xml:space="preserve">6. В пункте 4 раздела II Отчета указываются:</w:t>
      </w:r>
    </w:p>
    <w:p>
      <w:pPr>
        <w:spacing w:after="60"/>
        <w:ind w:firstLine="567"/>
        <w:jc w:val="both"/>
      </w:pPr>
      <w:r>
        <w:rPr>
          <w:rFonts w:ascii="Arial" w:cs="Arial" w:eastAsia="Arial" w:hAnsi="Arial"/>
          <w:sz w:val="24"/>
          <w:szCs w:val="24"/>
        </w:rPr>
        <w:t xml:space="preserve">- в строке 2.38 - сведения о наличии высшего или среднего профессионального образования, с указанием вида, номера, даты документа, подтверждающего его наличие, и название учебного заведения. Если указанное образование отсутствует, то в строке 2.38 ставится символ "-";</w:t>
      </w:r>
    </w:p>
    <w:p>
      <w:pPr>
        <w:spacing w:after="60"/>
        <w:ind w:firstLine="567"/>
        <w:jc w:val="both"/>
      </w:pPr>
      <w:r>
        <w:rPr>
          <w:rFonts w:ascii="Arial" w:cs="Arial" w:eastAsia="Arial" w:hAnsi="Arial"/>
          <w:sz w:val="24"/>
          <w:szCs w:val="24"/>
        </w:rPr>
        <w:t xml:space="preserve">- в строке 2.39 - периоды работы на должностях, связанных с исполнением обязанностей по противодействию легализации (отмыванию) доходов, полученных преступным путем, и финансированию терроризма, или руководителем отдела (или иного подразделения) некредитной финансовой организации либо иной организации, осуществляющей операции с денежными средствами или иным имуществом, с указанием должностей и наименований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ryoaibpvqhitjhghvqkd" Type="http://schemas.openxmlformats.org/officeDocument/2006/relationships/hyperlink" Target="http://kodeks.duckdns.org/document/12633" TargetMode="External"/><Relationship Id="rIdqcyzhxijogzjpgupiyehj" Type="http://schemas.openxmlformats.org/officeDocument/2006/relationships/hyperlink" Target="http://kodeks.duckdns.org/document/11627" TargetMode="External"/><Relationship Id="rIdwaj5qlclatcll1phspyla" Type="http://schemas.openxmlformats.org/officeDocument/2006/relationships/hyperlink" Target="http://kodeks.duckdns.org/document/11629#p1" TargetMode="External"/><Relationship Id="rIdediozh9gsjdtg0h8ardbz" Type="http://schemas.openxmlformats.org/officeDocument/2006/relationships/hyperlink" Target="http://kodeks.duckdns.org/document/11629#p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2026-09-23T01:22:45.286Z</dcterms:created>
  <dcterms:modified xsi:type="dcterms:W3CDTF">2026-09-23T01:22:45.286Z</dcterms:modified>
</cp:coreProperties>
</file>

<file path=docProps/custom.xml><?xml version="1.0" encoding="utf-8"?>
<Properties xmlns="http://schemas.openxmlformats.org/officeDocument/2006/custom-properties" xmlns:vt="http://schemas.openxmlformats.org/officeDocument/2006/docPropsVTypes"/>
</file>