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worke3hdzl4puiriove6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210</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мая 2018 года № 249</w:t>
      </w:r>
    </w:p>
    <w:p>
      <w:pPr>
        <w:spacing w:after="120"/>
        <w:jc w:val="both"/>
      </w:pPr>
      <w:r>
        <w:rPr>
          <w:rFonts w:ascii="Arial" w:cs="Arial" w:eastAsia="Arial" w:hAnsi="Arial"/>
          <w:sz w:val="24"/>
          <w:szCs w:val="24"/>
        </w:rPr>
        <w:t xml:space="preserve">О подготовке отраслей экономики и населения Кыргызской Республики к осенне-зимнему периоду 2018/2019 года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2wllna51okywoxp69rk1">
        <w:r>
          <w:rPr>
            <w:rFonts w:ascii="Arial" w:cs="Arial" w:eastAsia="Arial" w:hAnsi="Arial"/>
            <w:color w:val="1D4ED8"/>
            <w:sz w:val="24"/>
            <w:szCs w:val="24"/>
            <w:u w:val="single"/>
          </w:rPr>
          <w:t xml:space="preserve">8 октября 2018 года № 463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государственных комитетов, административных ведомств и регионов республики к прохождению осенне-зимнего периода 2018/2019 года, в соответствии со статьями 10 и 17 конституционного </w:t>
      </w:r>
      <w:hyperlink w:history="1" r:id="rId8xisvgqfbcbt-4qmu7od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План мероприятий по подготовке отраслей экономики и населения Кыргызской Республики к осенне-зимнему периоду 2018/2019 года (далее - План мероприятий) согласно </w:t>
      </w:r>
      <w:hyperlink w:history="1" r:id="rIdpuwn8ryacvnibqpvfoyqw">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Министерствам, государственным комитетам, административным ведомствам, государственным предприятиям "Кыргызкомур" и "Кыргызтеплоэнерго" при Государственном комитете промышленности, энергетики и недропользования Кыргызской Республики, аппаратам полномочных представителей Правительства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(далее - ОАО) "Национальная энергетическая холдинговая компания", "Электрические станции", "Национальная электрическая сеть Кыргызстана", "Северэлектро", "Ошэлектро", "Востокэлектро", "Жалалабатэлектро", "Кыргызнефтегаз", "Бишкектеплосеть", обществу с ограниченной ответственностью (далее - ОсОО) "Газпром Кыргызстан" и Ошскому муниципальному предприятию "Теплоснабжение":</w:t>
      </w:r>
    </w:p>
    <w:p>
      <w:pPr>
        <w:spacing w:after="60"/>
        <w:ind w:firstLine="567"/>
        <w:jc w:val="both"/>
      </w:pPr>
      <w:r>
        <w:rPr>
          <w:rFonts w:ascii="Arial" w:cs="Arial" w:eastAsia="Arial" w:hAnsi="Arial"/>
          <w:sz w:val="24"/>
          <w:szCs w:val="24"/>
        </w:rPr>
        <w:t xml:space="preserve">- обеспечить выполнение Плана мероприятий, лимитов потребления электрической энергии и мощности, графиков и заданий согласно приложениям </w:t>
      </w:r>
      <w:hyperlink w:history="1" r:id="rId98cix_3juuxw82awbzomf">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qhqrqriwcml448mlu-hoy">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срок до 1 июля 2018 года:</w:t>
      </w:r>
    </w:p>
    <w:p>
      <w:pPr>
        <w:spacing w:after="60"/>
        <w:ind w:firstLine="567"/>
        <w:jc w:val="both"/>
      </w:pPr>
      <w:r>
        <w:rPr>
          <w:rFonts w:ascii="Arial" w:cs="Arial" w:eastAsia="Arial" w:hAnsi="Arial"/>
          <w:sz w:val="24"/>
          <w:szCs w:val="24"/>
        </w:rPr>
        <w:t xml:space="preserve">принять меры по проведению конкурсов на закупку топлива для бюджетных организаций, заключить с ними договоры;</w:t>
      </w:r>
    </w:p>
    <w:p>
      <w:pPr>
        <w:spacing w:after="60"/>
        <w:ind w:firstLine="567"/>
        <w:jc w:val="both"/>
      </w:pPr>
      <w:r>
        <w:rPr>
          <w:rFonts w:ascii="Arial" w:cs="Arial" w:eastAsia="Arial" w:hAnsi="Arial"/>
          <w:sz w:val="24"/>
          <w:szCs w:val="24"/>
        </w:rPr>
        <w:t xml:space="preserve">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Государственной инспекции по экологической и технической безопасности при Правительстве Кыргызской Республики (для учреждений, имеющих на балансе отопительные котельные и другие виды энергетического оборудования);</w:t>
      </w:r>
    </w:p>
    <w:p>
      <w:pPr>
        <w:spacing w:after="60"/>
        <w:ind w:firstLine="567"/>
        <w:jc w:val="both"/>
      </w:pPr>
      <w:r>
        <w:rPr>
          <w:rFonts w:ascii="Arial" w:cs="Arial" w:eastAsia="Arial" w:hAnsi="Arial"/>
          <w:sz w:val="24"/>
          <w:szCs w:val="24"/>
        </w:rPr>
        <w:t xml:space="preserve">- ежемесячно представлять информацию об исполнении настоящего постановления в Государственный комитет промышленности, энергетики и недропользования Кыргызской Республики по состоянию на 1 число, не позднее 10 числа месяца, следующего за отчетным периодом, включая информацию о проведении конкурсов на закупку угля, о выполнении плановых заданий по заготовке топлива, создании топливных баз и пунктов реализации угля, с указанием цен на уголь. Ответственность за представление информации в Государственный комитет промышленности, энергетики и недропользования Кыргызской Республики и ее достоверность возлагается на руководителей министерств, государственных комитетов, административных ведомств, аппаратов полномочных представителей Правительства Кыргызской Республики в областях, местных государственных администраций и предприятий топливно-энергетического комплекса Кыргызской Республики.</w:t>
      </w:r>
    </w:p>
    <w:p>
      <w:pPr>
        <w:spacing w:after="60"/>
        <w:ind w:firstLine="567"/>
        <w:jc w:val="both"/>
      </w:pPr>
      <w:r>
        <w:rPr>
          <w:rFonts w:ascii="Arial" w:cs="Arial" w:eastAsia="Arial" w:hAnsi="Arial"/>
          <w:sz w:val="24"/>
          <w:szCs w:val="24"/>
        </w:rPr>
        <w:t xml:space="preserve">3. В соответствии с частью 2 статьи 27 </w:t>
      </w:r>
      <w:hyperlink w:history="1" r:id="rIdtaxn45quuiqua7-cb82x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конкурсным комиссиям министерств, государственных комитетов и административных ведомств, государственному предприятию "Кыргызтеплоэнерго" при Государственном комитете промышленности, энергетики и недропользования Кыргызской Республики, ОАО "Электрические станции" (по согласованию) временно, на период подготовки и прохождения осенне-зимнего периода 2018/2019 года, исключить для ОАО "Кыргызнефтегаз" и Государственного предприятия "Кыргызкомур" при Государственном комитете промышленности, энергетики и недропользования Кыргызской Республики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 добываемого на территории Кыргызской Республики.</w:t>
      </w:r>
    </w:p>
    <w:p>
      <w:pPr>
        <w:spacing w:after="60"/>
        <w:ind w:firstLine="567"/>
        <w:jc w:val="both"/>
      </w:pPr>
      <w:r>
        <w:rPr>
          <w:rFonts w:ascii="Arial" w:cs="Arial" w:eastAsia="Arial" w:hAnsi="Arial"/>
          <w:sz w:val="24"/>
          <w:szCs w:val="24"/>
        </w:rPr>
        <w:t xml:space="preserve">4. Государственному агентству антимонопольного регулирования при Правительстве Кыргызской Республики в срок до 1 июня 2018 года:</w:t>
      </w:r>
    </w:p>
    <w:p>
      <w:pPr>
        <w:spacing w:after="60"/>
        <w:ind w:firstLine="567"/>
        <w:jc w:val="both"/>
      </w:pPr>
      <w:r>
        <w:rPr>
          <w:rFonts w:ascii="Arial" w:cs="Arial" w:eastAsia="Arial" w:hAnsi="Arial"/>
          <w:sz w:val="24"/>
          <w:szCs w:val="24"/>
        </w:rPr>
        <w:t xml:space="preserve">- установить цены на уголь угледобывающим компаниям Кыргызской Республики, осуществляющим поставку угля на предприятия топливно-энергетического комплекса Кыргызской Республики, согласно перечню, представленному Государственным предприятием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определить цены на перевозку угля автотранспортными средствами по маршруту: разрез "Кара-Кече" - железнодорожная станция Балыкчы и город Таш-Кумыр - ТЭЦ города Бишкек и рекомендовать их для использования;</w:t>
      </w:r>
    </w:p>
    <w:p>
      <w:pPr>
        <w:spacing w:after="60"/>
        <w:ind w:firstLine="567"/>
        <w:jc w:val="both"/>
      </w:pPr>
      <w:r>
        <w:rPr>
          <w:rFonts w:ascii="Arial" w:cs="Arial" w:eastAsia="Arial" w:hAnsi="Arial"/>
          <w:sz w:val="24"/>
          <w:szCs w:val="24"/>
        </w:rPr>
        <w:t xml:space="preserve">- установить для ОАО "Кыргызнефтегаз" цену на топочный мазут марки "М-100" для поставки на ТЭЦ города Ош;</w:t>
      </w:r>
    </w:p>
    <w:p>
      <w:pPr>
        <w:spacing w:after="60"/>
        <w:ind w:firstLine="567"/>
        <w:jc w:val="both"/>
      </w:pPr>
      <w:r>
        <w:rPr>
          <w:rFonts w:ascii="Arial" w:cs="Arial" w:eastAsia="Arial" w:hAnsi="Arial"/>
          <w:sz w:val="24"/>
          <w:szCs w:val="24"/>
        </w:rPr>
        <w:t xml:space="preserve">- определить цены на погрузочно-разгрузочные работы и хранение кавакского угля и рекомендовать их для использования.</w:t>
      </w:r>
    </w:p>
    <w:p>
      <w:pPr>
        <w:spacing w:after="60"/>
        <w:ind w:firstLine="567"/>
        <w:jc w:val="both"/>
      </w:pPr>
      <w:r>
        <w:rPr>
          <w:rFonts w:ascii="Arial" w:cs="Arial" w:eastAsia="Arial" w:hAnsi="Arial"/>
          <w:sz w:val="24"/>
          <w:szCs w:val="24"/>
        </w:rPr>
        <w:t xml:space="preserve">5. Министерству транспорта и дорог Кыргызской Республики совместно с Государственным агентством антимонопольного регулирования при Правительстве Кыргызской Республики установить цены (тарифы) на железнодорожную перевозку угля от станции Балыкчы до ТЭЦ города Бишкек.</w:t>
      </w:r>
    </w:p>
    <w:p>
      <w:pPr>
        <w:spacing w:after="60"/>
        <w:ind w:firstLine="567"/>
        <w:jc w:val="both"/>
      </w:pPr>
      <w:r>
        <w:rPr>
          <w:rFonts w:ascii="Arial" w:cs="Arial" w:eastAsia="Arial" w:hAnsi="Arial"/>
          <w:sz w:val="24"/>
          <w:szCs w:val="24"/>
        </w:rPr>
        <w:t xml:space="preserve">6. Полномочным представителям Правительства Кыргызской Республики в областях, местным государственным администрациям и мэриям городов Бишкек и Ош (по согласованию) отслеживать цены на уголь на топливных базах и пунктах реализации, осуществляющих поставку угля для населения. В случае повышения цен на уголь на 20 и более процентов в течение месяца, вносить в Министерство экономики Кыргызской Республики предложения о стабилизации цен в установленном законодательством порядке.</w:t>
      </w:r>
    </w:p>
    <w:p>
      <w:pPr>
        <w:spacing w:after="60"/>
        <w:ind w:firstLine="567"/>
        <w:jc w:val="both"/>
      </w:pPr>
      <w:r>
        <w:rPr>
          <w:rFonts w:ascii="Arial" w:cs="Arial" w:eastAsia="Arial" w:hAnsi="Arial"/>
          <w:sz w:val="24"/>
          <w:szCs w:val="24"/>
        </w:rPr>
        <w:t xml:space="preserve">7. Министерству экономики Кыргызской Республики по результатам мониторинга, анализа предложений, внесенных полномочными представителями Правительства Кыргызской Республики в областях, местными государственными администрациями и мэриями городов Бишкек и Ош, вносить предложения в Правительство Кыргызской Республики о введении государственного регулирования цен на уголь в случае роста цен на 20 и более процентов в течение месяца.</w:t>
      </w:r>
    </w:p>
    <w:p>
      <w:pPr>
        <w:spacing w:after="60"/>
        <w:ind w:firstLine="567"/>
        <w:jc w:val="both"/>
      </w:pPr>
      <w:r>
        <w:rPr>
          <w:rFonts w:ascii="Arial" w:cs="Arial" w:eastAsia="Arial" w:hAnsi="Arial"/>
          <w:sz w:val="24"/>
          <w:szCs w:val="24"/>
        </w:rPr>
        <w:t xml:space="preserve">8. Министерству финансов Кыргызской Республики обеспечить в 2018 году своевременное поквартальное выделение компенсационных средств для лиц, проживающих в условиях высокогорья и отдаленных труднодоступных зонах республики, в пределах средств, предусмотренных </w:t>
      </w:r>
      <w:hyperlink w:history="1" r:id="rId4r_ldoiegxc_n66o3poo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2018 год и прогнозе на 2019-2020 годы".</w:t>
      </w:r>
    </w:p>
    <w:p>
      <w:pPr>
        <w:spacing w:after="60"/>
        <w:ind w:firstLine="567"/>
        <w:jc w:val="both"/>
      </w:pPr>
      <w:r>
        <w:rPr>
          <w:rFonts w:ascii="Arial" w:cs="Arial" w:eastAsia="Arial" w:hAnsi="Arial"/>
          <w:sz w:val="24"/>
          <w:szCs w:val="24"/>
        </w:rPr>
        <w:t xml:space="preserve">9.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мэриям городов Бишкек и Ош (по согласованию):</w:t>
      </w:r>
    </w:p>
    <w:p>
      <w:pPr>
        <w:spacing w:after="60"/>
        <w:ind w:firstLine="567"/>
        <w:jc w:val="both"/>
      </w:pPr>
      <w:r>
        <w:rPr>
          <w:rFonts w:ascii="Arial" w:cs="Arial" w:eastAsia="Arial" w:hAnsi="Arial"/>
          <w:sz w:val="24"/>
          <w:szCs w:val="24"/>
        </w:rPr>
        <w:t xml:space="preserve">- обеспечить в полном объеме своевременную оплату за потребленные электрическую и тепловую энергию, природный газ, уголь и топочный мазут;</w:t>
      </w:r>
    </w:p>
    <w:p>
      <w:pPr>
        <w:spacing w:after="60"/>
        <w:ind w:firstLine="567"/>
        <w:jc w:val="both"/>
      </w:pPr>
      <w:r>
        <w:rPr>
          <w:rFonts w:ascii="Arial" w:cs="Arial" w:eastAsia="Arial" w:hAnsi="Arial"/>
          <w:sz w:val="24"/>
          <w:szCs w:val="24"/>
        </w:rPr>
        <w:t xml:space="preserve">- оказывать содействие энергетическим компаниям в своевременной вырубке поросли деревьев в охранных зонах воздушных и кабельных линий электропередачи.</w:t>
      </w:r>
    </w:p>
    <w:p>
      <w:pPr>
        <w:spacing w:after="60"/>
        <w:ind w:firstLine="567"/>
        <w:jc w:val="both"/>
      </w:pPr>
      <w:r>
        <w:rPr>
          <w:rFonts w:ascii="Arial" w:cs="Arial" w:eastAsia="Arial" w:hAnsi="Arial"/>
          <w:sz w:val="24"/>
          <w:szCs w:val="24"/>
        </w:rPr>
        <w:t xml:space="preserve">10. Государственной пограничной службе Кыргызской Республики и Государственной таможенной службе при Правительстве Кыргызской Республики, при необходимости проведения планового или аварийного ремонта линий электропередачи и объектов магистральных газопроводов,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60"/>
        <w:ind w:firstLine="567"/>
        <w:jc w:val="both"/>
      </w:pPr>
      <w:r>
        <w:rPr>
          <w:rFonts w:ascii="Arial" w:cs="Arial" w:eastAsia="Arial" w:hAnsi="Arial"/>
          <w:sz w:val="24"/>
          <w:szCs w:val="24"/>
        </w:rPr>
        <w:t xml:space="preserve">11. Фонду по управлению государственным имуществом при Правительстве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Социальному фонду Кыргызской Республики, Фонду государственных материальных резервов при Правительстве Кыргызской Республики и Государственному агентству по управлению бюджетными кредитами при Министерстве финансов Кыргызской Республики на время подготовки и прохождения осенне-зимнего периода не принимать решений о закрытии расчетных счетов ОАО "Электрические станции", "Национальная электрическая сеть Кыргызстана", "Северэлектро", "Востокэлектро", "Ошэлектро", "Жалалабатэлектро", "Чакан ГЭС", "Бишкектеплосеть", "Кыргызнефтегаз", ОсОО "Газпром Кыргызстан", коммунального предприятия "Бишкектеплоэнерго" мэрии города Бишкек, Ошского муниципального предприятия "Теплоснабжение", государственных предприятий "Кыргызтеплоэнерго" и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12. Возложить персональную ответственность:</w:t>
      </w:r>
    </w:p>
    <w:p>
      <w:pPr>
        <w:spacing w:after="60"/>
        <w:ind w:firstLine="567"/>
        <w:jc w:val="both"/>
      </w:pPr>
      <w:r>
        <w:rPr>
          <w:rFonts w:ascii="Arial" w:cs="Arial" w:eastAsia="Arial" w:hAnsi="Arial"/>
          <w:sz w:val="24"/>
          <w:szCs w:val="24"/>
        </w:rPr>
        <w:t xml:space="preserve">- за выполнение установленных лимитов потребления электрической энергии и мощности - на полномочных представителей Правительства Кыргызской Республики в областях, глав местных государственных администраций, глав айыл окмоту, руководителей ОАО "Национальная энергетическая холдинговая компания", "Северэлектро", "Ошэлектро", "Востокэлектро", "Жалалабатэлектро" и "Национальная электрическая сеть Кыргызстана";</w:t>
      </w:r>
    </w:p>
    <w:p>
      <w:pPr>
        <w:spacing w:after="60"/>
        <w:ind w:firstLine="567"/>
        <w:jc w:val="both"/>
      </w:pPr>
      <w:r>
        <w:rPr>
          <w:rFonts w:ascii="Arial" w:cs="Arial" w:eastAsia="Arial" w:hAnsi="Arial"/>
          <w:sz w:val="24"/>
          <w:szCs w:val="24"/>
        </w:rPr>
        <w:t xml:space="preserve">- за возникновение просрочки платежей за электрическую и тепловую энергию и природный газ - на руководителей бюджетных организаций;</w:t>
      </w:r>
    </w:p>
    <w:p>
      <w:pPr>
        <w:spacing w:after="60"/>
        <w:ind w:firstLine="567"/>
        <w:jc w:val="both"/>
      </w:pPr>
      <w:r>
        <w:rPr>
          <w:rFonts w:ascii="Arial" w:cs="Arial" w:eastAsia="Arial" w:hAnsi="Arial"/>
          <w:sz w:val="24"/>
          <w:szCs w:val="24"/>
        </w:rPr>
        <w:t xml:space="preserve">- за качество и своевременность проведения ремонтно-восстановительных работ энергооборудования - на руководителей ОАО "Национальная энергетическая холдинговая компания", "Северэлектро", "Ошэлектро", "Востокэлектро", "Жалалабатэлектро", "Национальная электрическая сеть Кыргызстана", "Электрические станции", "Чакан ГЭС", "Бишкектеплосеть", коммунального предприятия "Бишкектеплоэнерго", Ошского муниципального предприятия "Теплоснабжение" и государственного предприятия "Кыргызтеплоэнерго".</w:t>
      </w:r>
    </w:p>
    <w:p>
      <w:pPr>
        <w:spacing w:after="60"/>
        <w:ind w:firstLine="567"/>
        <w:jc w:val="both"/>
      </w:pPr>
      <w:r>
        <w:rPr>
          <w:rFonts w:ascii="Arial" w:cs="Arial" w:eastAsia="Arial" w:hAnsi="Arial"/>
          <w:sz w:val="24"/>
          <w:szCs w:val="24"/>
        </w:rPr>
        <w:t xml:space="preserve">13. Государственной инспекции по экологической и технической безопасности при Правительстве Кыргызской Республики, в целях обеспечения надлежащего контроля и надзора за качеством подготовки субъектов топливно-энергетического комплекса к осенне-зимнему периоду 2018/2019 года осуществлять проверку качества ремонтно-подготовительных работ, проводимых предприятиями топливно-энергетического комплекса.</w:t>
      </w:r>
    </w:p>
    <w:p>
      <w:pPr>
        <w:spacing w:after="60"/>
        <w:ind w:firstLine="567"/>
        <w:jc w:val="both"/>
      </w:pPr>
      <w:r>
        <w:rPr>
          <w:rFonts w:ascii="Arial" w:cs="Arial" w:eastAsia="Arial" w:hAnsi="Arial"/>
          <w:sz w:val="24"/>
          <w:szCs w:val="24"/>
        </w:rPr>
        <w:t xml:space="preserve">14. Министерству экономики Кыргызской Республики совместно с Министерством юстиции Кыргызской Республики, Государственным комитетом промышленности, энергетики и недропользования Кыргызской Республики и Государственной инспекцией по экологической и технической безопасности при Правительстве Кыргызской Республики, в целях обеспечения стабильной работы предприятий топливно-энергетического комплекса в осенне-зимние периоды разработать и внести соответствующее решение об увеличении количества проверок субъектов топливно-энергетического комплекса.</w:t>
      </w:r>
    </w:p>
    <w:p>
      <w:pPr>
        <w:spacing w:after="60"/>
        <w:ind w:firstLine="567"/>
        <w:jc w:val="both"/>
      </w:pPr>
      <w:r>
        <w:rPr>
          <w:rFonts w:ascii="Arial" w:cs="Arial" w:eastAsia="Arial" w:hAnsi="Arial"/>
          <w:i/>
          <w:iCs/>
          <w:sz w:val="24"/>
          <w:szCs w:val="24"/>
        </w:rPr>
        <w:t xml:space="preserve">15. (Утратил силу в соответствии с </w:t>
      </w:r>
      <w:hyperlink w:history="1" r:id="rIdmtq6pgs9lzy5zfzf4bj_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октября 2018 года № 463)</w:t>
      </w:r>
    </w:p>
    <w:p>
      <w:pPr>
        <w:spacing w:after="60"/>
        <w:ind w:firstLine="567"/>
        <w:jc w:val="both"/>
      </w:pPr>
      <w:r>
        <w:rPr>
          <w:rFonts w:ascii="Arial" w:cs="Arial" w:eastAsia="Arial" w:hAnsi="Arial"/>
          <w:sz w:val="24"/>
          <w:szCs w:val="24"/>
        </w:rPr>
        <w:t xml:space="preserve">16. Государственному предприятию "Кыргызтеплоэнерго" при Государственном комитете промышленности, энергетики и недропользования Кыргызской Республики обеспечить выполнение плановых технико-экономических показателей на 2018 год.</w:t>
      </w:r>
    </w:p>
    <w:p>
      <w:pPr>
        <w:spacing w:after="60"/>
        <w:ind w:firstLine="567"/>
        <w:jc w:val="both"/>
      </w:pPr>
      <w:r>
        <w:rPr>
          <w:rFonts w:ascii="Arial" w:cs="Arial" w:eastAsia="Arial" w:hAnsi="Arial"/>
          <w:sz w:val="24"/>
          <w:szCs w:val="24"/>
        </w:rPr>
        <w:t xml:space="preserve">17. Рекомендовать ОАО "Бишкектеплосеть", коммунальному предприятию "Бишкектеплоэнерго" мэрии города Бишкек, Ошскому муниципальному предприятию "Теплоснабжение" обеспечить выполнение плановых технико-экономических показателей на 2018 год.</w:t>
      </w:r>
    </w:p>
    <w:p>
      <w:pPr>
        <w:spacing w:after="60"/>
        <w:ind w:firstLine="567"/>
        <w:jc w:val="both"/>
      </w:pPr>
      <w:r>
        <w:rPr>
          <w:rFonts w:ascii="Arial" w:cs="Arial" w:eastAsia="Arial" w:hAnsi="Arial"/>
          <w:sz w:val="24"/>
          <w:szCs w:val="24"/>
        </w:rPr>
        <w:t xml:space="preserve">18. Государственному предприятию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представить в Государственное агентство антимонопольного регулирования при Правительстве Кыргызской Республики перечень угледобывающих компаний, осуществляющих поставку угля на предприятия топливно-энергетического комплекса Кыргызской Республики, для установления цен на уголь;</w:t>
      </w:r>
    </w:p>
    <w:p>
      <w:pPr>
        <w:spacing w:after="60"/>
        <w:ind w:firstLine="567"/>
        <w:jc w:val="both"/>
      </w:pPr>
      <w:r>
        <w:rPr>
          <w:rFonts w:ascii="Arial" w:cs="Arial" w:eastAsia="Arial" w:hAnsi="Arial"/>
          <w:sz w:val="24"/>
          <w:szCs w:val="24"/>
        </w:rPr>
        <w:t xml:space="preserve">- принять меры по созданию аттестованной лаборатории по анализу качества угля, поставляемого на ТЭЦ города Бишкек с Кавакского буроугольного бассейна.</w:t>
      </w:r>
    </w:p>
    <w:p>
      <w:pPr>
        <w:spacing w:after="60"/>
        <w:ind w:firstLine="567"/>
        <w:jc w:val="both"/>
      </w:pPr>
      <w:r>
        <w:rPr>
          <w:rFonts w:ascii="Arial" w:cs="Arial" w:eastAsia="Arial" w:hAnsi="Arial"/>
          <w:sz w:val="24"/>
          <w:szCs w:val="24"/>
        </w:rPr>
        <w:t xml:space="preserve">19. Рекомендовать ОАО "Национальная энергетическая холдинговая компания" совместно с:</w:t>
      </w:r>
    </w:p>
    <w:p>
      <w:pPr>
        <w:spacing w:after="60"/>
        <w:ind w:firstLine="567"/>
        <w:jc w:val="both"/>
      </w:pPr>
      <w:r>
        <w:rPr>
          <w:rFonts w:ascii="Arial" w:cs="Arial" w:eastAsia="Arial" w:hAnsi="Arial"/>
          <w:sz w:val="24"/>
          <w:szCs w:val="24"/>
        </w:rPr>
        <w:t xml:space="preserve">- ОАО "Электрические станции", "Национальная электрическая сеть Кыргызстана", "Северэлектро", "Востокэлектро", "Ошэлектро" и "Жалалабатэлектро" принять меры по обеспечению надежного электроснабжения потребителей республики;</w:t>
      </w:r>
    </w:p>
    <w:p>
      <w:pPr>
        <w:spacing w:after="60"/>
        <w:ind w:firstLine="567"/>
        <w:jc w:val="both"/>
      </w:pPr>
      <w:r>
        <w:rPr>
          <w:rFonts w:ascii="Arial" w:cs="Arial" w:eastAsia="Arial" w:hAnsi="Arial"/>
          <w:sz w:val="24"/>
          <w:szCs w:val="24"/>
        </w:rPr>
        <w:t xml:space="preserve">- ОАО "Национальная электрическая сеть Кыргызстана", "Северэлектро", "Востокэлектро", "Ошэлектро" и "Жалалабатэлектро" обеспечить в 2018 году снижение уровня потерь электрической энергии в электрических сетях: ОАО "Национальная электрическая сеть Кыргызстана" - до 5,85%, ОАО "Северэлектро" - до 12,4%, ОАО "Востокэлектро" - до 13,4%, ОАО "Ошэлектро" - до 12,4%, ОАО "Жалалабатэлектро" - до 12,4% и снижение дебиторской задолженности на 20%, без учета задолженности бюджетных потребителей и выплаты компенсаций за четвертый квартал 2018 года лицам, проживающим в условиях высокогорья и отдаленных труднодоступных зонах республики;</w:t>
      </w:r>
    </w:p>
    <w:p>
      <w:pPr>
        <w:spacing w:after="60"/>
        <w:ind w:firstLine="567"/>
        <w:jc w:val="both"/>
      </w:pPr>
      <w:r>
        <w:rPr>
          <w:rFonts w:ascii="Arial" w:cs="Arial" w:eastAsia="Arial" w:hAnsi="Arial"/>
          <w:sz w:val="24"/>
          <w:szCs w:val="24"/>
        </w:rPr>
        <w:t xml:space="preserve">- ОАО "Электрические станции", "Национальная электрическая сеть Кыргызстана", "Северэлектро", "Востокэлектро", "Ошэлектро", "Жалалабатэлектро" и "Чакан ГЭС" обеспечить выполнение плановых технико-экономических показателей, установленных на 2018 год.</w:t>
      </w:r>
    </w:p>
    <w:p>
      <w:pPr>
        <w:spacing w:after="60"/>
        <w:ind w:firstLine="567"/>
        <w:jc w:val="both"/>
      </w:pPr>
      <w:r>
        <w:rPr>
          <w:rFonts w:ascii="Arial" w:cs="Arial" w:eastAsia="Arial" w:hAnsi="Arial"/>
          <w:sz w:val="24"/>
          <w:szCs w:val="24"/>
        </w:rPr>
        <w:t xml:space="preserve">20. Рекомендовать ОАО "Национальная электрическая сеть Кыргызстана", "Северэлектро", "Востокэлектро", "Ошэлектро", "Жалалабатэлектро", "Бишкектеплосеть" и ОсОО "Газпром Кыргызстан":</w:t>
      </w:r>
    </w:p>
    <w:p>
      <w:pPr>
        <w:spacing w:after="60"/>
        <w:ind w:firstLine="567"/>
        <w:jc w:val="both"/>
      </w:pPr>
      <w:r>
        <w:rPr>
          <w:rFonts w:ascii="Arial" w:cs="Arial" w:eastAsia="Arial" w:hAnsi="Arial"/>
          <w:sz w:val="24"/>
          <w:szCs w:val="24"/>
        </w:rPr>
        <w:t xml:space="preserve">- в установленном порядке принимать соответствующие меры в отношении потребителей, имеющих дебиторскую задолженность за электрическую и тепловую энергию и природный газ, и бюджетных организаций, допускающих перерасход установленных лимитов потребления электрической энергии, за исключением объектов здравоохранения, Государственной пограничной службы Кыргызской Республики, учреждений и объектов Государственной службы исполнения наказаний при Правительстве Кыргызской Республики, соединений, частей и учреждений Государственного комитета по делам обороны Кыргызской Республики и Генерального штаба Вооруженных Сил Кыргызской Республики;</w:t>
      </w:r>
    </w:p>
    <w:p>
      <w:pPr>
        <w:spacing w:after="60"/>
        <w:ind w:firstLine="567"/>
        <w:jc w:val="both"/>
      </w:pPr>
      <w:r>
        <w:rPr>
          <w:rFonts w:ascii="Arial" w:cs="Arial" w:eastAsia="Arial" w:hAnsi="Arial"/>
          <w:sz w:val="24"/>
          <w:szCs w:val="24"/>
        </w:rPr>
        <w:t xml:space="preserve">- совместно с аппаратами полномочных представителей Правительства Кыргызской Республики в областях не допускать превышения лимитов потребления электрической энергии и мощности, указанных в приложениях </w:t>
      </w:r>
      <w:hyperlink w:history="1" r:id="rIdbpcpcyihtdqf39fxb79zf">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nqggpegbyr8brygwo5sya">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не отключать от электроснабжения технологические объекты Ошского муниципального предприятия "Теплоснабжение", государственного предприятия "Кыргызтеплоэнерго" при Государственном комитете промышленности, энергетики и недропользования Кыргызской Республики и коммунального предприятия "Бишкектеплоэнерго" мэрии города Бишкек в период ремонта котельного оборудования и прохождения осенне-зимнего периода 2018/2019 года, с соблюдением взаимных гарантийных и иных обязательств.</w:t>
      </w:r>
    </w:p>
    <w:p>
      <w:pPr>
        <w:spacing w:after="60"/>
        <w:ind w:firstLine="567"/>
        <w:jc w:val="both"/>
      </w:pPr>
      <w:r>
        <w:rPr>
          <w:rFonts w:ascii="Arial" w:cs="Arial" w:eastAsia="Arial" w:hAnsi="Arial"/>
          <w:sz w:val="24"/>
          <w:szCs w:val="24"/>
        </w:rPr>
        <w:t xml:space="preserve">21. Рекомендовать ОАО "Газпром Кыргызстан":</w:t>
      </w:r>
    </w:p>
    <w:p>
      <w:pPr>
        <w:spacing w:after="60"/>
        <w:ind w:firstLine="567"/>
        <w:jc w:val="both"/>
      </w:pPr>
      <w:r>
        <w:rPr>
          <w:rFonts w:ascii="Arial" w:cs="Arial" w:eastAsia="Arial" w:hAnsi="Arial"/>
          <w:sz w:val="24"/>
          <w:szCs w:val="24"/>
        </w:rPr>
        <w:t xml:space="preserve">- обеспечить бесперебойную поставку природного газа для потребителей Кыргызской Республики в осенне-зимний период 2018/2019 года;</w:t>
      </w:r>
    </w:p>
    <w:p>
      <w:pPr>
        <w:spacing w:after="60"/>
        <w:ind w:firstLine="567"/>
        <w:jc w:val="both"/>
      </w:pPr>
      <w:r>
        <w:rPr>
          <w:rFonts w:ascii="Arial" w:cs="Arial" w:eastAsia="Arial" w:hAnsi="Arial"/>
          <w:sz w:val="24"/>
          <w:szCs w:val="24"/>
        </w:rPr>
        <w:t xml:space="preserve">- обеспечить выполнение Генеральной схемы газоснабжения и газификации Кыргызской Республики до 2030 года и Инвестиционной программы на 2018 год;</w:t>
      </w:r>
    </w:p>
    <w:p>
      <w:pPr>
        <w:spacing w:after="60"/>
        <w:ind w:firstLine="567"/>
        <w:jc w:val="both"/>
      </w:pPr>
      <w:r>
        <w:rPr>
          <w:rFonts w:ascii="Arial" w:cs="Arial" w:eastAsia="Arial" w:hAnsi="Arial"/>
          <w:sz w:val="24"/>
          <w:szCs w:val="24"/>
        </w:rPr>
        <w:t xml:space="preserve">- на ежемесячной основе представлять информацию об исполнении Инвестиционной программы на 2018 год.</w:t>
      </w:r>
    </w:p>
    <w:p>
      <w:pPr>
        <w:spacing w:after="60"/>
        <w:ind w:firstLine="567"/>
        <w:jc w:val="both"/>
      </w:pPr>
      <w:r>
        <w:rPr>
          <w:rFonts w:ascii="Arial" w:cs="Arial" w:eastAsia="Arial" w:hAnsi="Arial"/>
          <w:sz w:val="24"/>
          <w:szCs w:val="24"/>
        </w:rPr>
        <w:t xml:space="preserve">22.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и органам местного самоуправления (по согласованию) оказывать содействие ОсОО "Газпром Кыргызстан" в реализации Генеральной схемы газоснабжения и газификации Кыргызской Республики до 2030 года и Инвестиционной программы на 2018 год.</w:t>
      </w:r>
    </w:p>
    <w:p>
      <w:pPr>
        <w:spacing w:after="60"/>
        <w:ind w:firstLine="567"/>
        <w:jc w:val="both"/>
      </w:pPr>
      <w:r>
        <w:rPr>
          <w:rFonts w:ascii="Arial" w:cs="Arial" w:eastAsia="Arial" w:hAnsi="Arial"/>
          <w:sz w:val="24"/>
          <w:szCs w:val="24"/>
        </w:rPr>
        <w:t xml:space="preserve">23. Рекомендовать ОАО "Северэлектро", "Востокэлектро", "Ошэлектро" и "Жалалабатэлектро" совместно с местными государственными администрациями разработать графики разгрузки электрических сетей для их применения в случаях превышения лимитов потребления электроэнергии и мощности, перегруза основного оборудования, дефицита мощности и электроэнергии, и представить их ОАО "Национальная электрическая сеть Кыргызстана".</w:t>
      </w:r>
    </w:p>
    <w:p>
      <w:pPr>
        <w:spacing w:after="60"/>
        <w:ind w:firstLine="567"/>
        <w:jc w:val="both"/>
      </w:pPr>
      <w:r>
        <w:rPr>
          <w:rFonts w:ascii="Arial" w:cs="Arial" w:eastAsia="Arial" w:hAnsi="Arial"/>
          <w:sz w:val="24"/>
          <w:szCs w:val="24"/>
        </w:rPr>
        <w:t xml:space="preserve">24. В целях оказания содействия в реализации Проекта между ОАО "Бишкектеплосеть" и Российско-Кыргызским Фондом развития "Реконструкция магистральной сети "Восток" (II пусковой комплекс) на территории города Бишкек", осуществляемого ОАО "Бишкектеплосеть" (далее - Проект):</w:t>
      </w:r>
    </w:p>
    <w:p>
      <w:pPr>
        <w:spacing w:after="60"/>
        <w:ind w:firstLine="567"/>
        <w:jc w:val="both"/>
      </w:pPr>
      <w:r>
        <w:rPr>
          <w:rFonts w:ascii="Arial" w:cs="Arial" w:eastAsia="Arial" w:hAnsi="Arial"/>
          <w:sz w:val="24"/>
          <w:szCs w:val="24"/>
        </w:rPr>
        <w:t xml:space="preserve">- рекомендовать мэрии города Бишкек обеспечить согласование графика строительно-монтажных работ и выдачу разрешительных документов для реализации Проекта;</w:t>
      </w:r>
    </w:p>
    <w:p>
      <w:pPr>
        <w:spacing w:after="60"/>
        <w:ind w:firstLine="567"/>
        <w:jc w:val="both"/>
      </w:pPr>
      <w:r>
        <w:rPr>
          <w:rFonts w:ascii="Arial" w:cs="Arial" w:eastAsia="Arial" w:hAnsi="Arial"/>
          <w:sz w:val="24"/>
          <w:szCs w:val="24"/>
        </w:rPr>
        <w:t xml:space="preserve">- Государственному агентству по регулированию топливно-энергетического комплекса при Правительстве Кыргызской Республики ежегодно, при формировании и утверждении тарифа на тепловую энергию для ОАО "Бишкектеплосеть", учитывать финансовые обязательства по Проекту;</w:t>
      </w:r>
    </w:p>
    <w:p>
      <w:pPr>
        <w:spacing w:after="60"/>
        <w:ind w:firstLine="567"/>
        <w:jc w:val="both"/>
      </w:pPr>
      <w:r>
        <w:rPr>
          <w:rFonts w:ascii="Arial" w:cs="Arial" w:eastAsia="Arial" w:hAnsi="Arial"/>
          <w:sz w:val="24"/>
          <w:szCs w:val="24"/>
        </w:rPr>
        <w:t xml:space="preserve">- рекомендовать ОАО "РСК Банк" и ОАО "Бишкектеплосеть" заключить соглашение с Российско-Кыргызским Фондом развития (по согласованию) о долевом распределении денежных средств, поступающих в ОАО "РСК Банк" от потребителей ОАО "Бишкектеплосеть".</w:t>
      </w:r>
    </w:p>
    <w:p>
      <w:pPr>
        <w:spacing w:after="60"/>
        <w:ind w:firstLine="567"/>
        <w:jc w:val="both"/>
      </w:pPr>
      <w:r>
        <w:rPr>
          <w:rFonts w:ascii="Arial" w:cs="Arial" w:eastAsia="Arial" w:hAnsi="Arial"/>
          <w:sz w:val="24"/>
          <w:szCs w:val="24"/>
        </w:rPr>
        <w:t xml:space="preserve">25. Рекомендовать мэрии города Бишкек:</w:t>
      </w:r>
    </w:p>
    <w:p>
      <w:pPr>
        <w:spacing w:after="60"/>
        <w:ind w:firstLine="567"/>
        <w:jc w:val="both"/>
      </w:pPr>
      <w:r>
        <w:rPr>
          <w:rFonts w:ascii="Arial" w:cs="Arial" w:eastAsia="Arial" w:hAnsi="Arial"/>
          <w:sz w:val="24"/>
          <w:szCs w:val="24"/>
        </w:rPr>
        <w:t xml:space="preserve">- совместно с коммунальным предприятием "Бишкектеплоэнерго" мэрии города Бишкек рассмотреть возможность восстановления котельной "Бишкексельмаш";</w:t>
      </w:r>
    </w:p>
    <w:p>
      <w:pPr>
        <w:spacing w:after="60"/>
        <w:ind w:firstLine="567"/>
        <w:jc w:val="both"/>
      </w:pPr>
      <w:r>
        <w:rPr>
          <w:rFonts w:ascii="Arial" w:cs="Arial" w:eastAsia="Arial" w:hAnsi="Arial"/>
          <w:sz w:val="24"/>
          <w:szCs w:val="24"/>
        </w:rPr>
        <w:t xml:space="preserve">- оказать содействие в освобождении земельного участка, выделенного ОАО "Бишкектеплосеть" под строительство насосной станции (на пересечении пр.Чуй - ул.Осмонкула);</w:t>
      </w:r>
    </w:p>
    <w:p>
      <w:pPr>
        <w:spacing w:after="60"/>
        <w:ind w:firstLine="567"/>
        <w:jc w:val="both"/>
      </w:pPr>
      <w:r>
        <w:rPr>
          <w:rFonts w:ascii="Arial" w:cs="Arial" w:eastAsia="Arial" w:hAnsi="Arial"/>
          <w:sz w:val="24"/>
          <w:szCs w:val="24"/>
        </w:rPr>
        <w:t xml:space="preserve">- совместно с ОсОО "Газпром Кыргызстан" (по согласованию) рассмотреть вопрос о строительстве котельных на природном газе для обеспечения теплоснабжения новых многоэтажных жилых домов и подключении новых абонентов к газоснабжению;</w:t>
      </w:r>
    </w:p>
    <w:p>
      <w:pPr>
        <w:spacing w:after="60"/>
        <w:ind w:firstLine="567"/>
        <w:jc w:val="both"/>
      </w:pPr>
      <w:r>
        <w:rPr>
          <w:rFonts w:ascii="Arial" w:cs="Arial" w:eastAsia="Arial" w:hAnsi="Arial"/>
          <w:sz w:val="24"/>
          <w:szCs w:val="24"/>
        </w:rPr>
        <w:t xml:space="preserve">- разработать и утвердить в установленном порядке схемы теплоснабжения города Бишкек и проекты детальной планировки инженерной инфраструктуры города Бишкек.</w:t>
      </w:r>
    </w:p>
    <w:p>
      <w:pPr>
        <w:spacing w:after="60"/>
        <w:ind w:firstLine="567"/>
        <w:jc w:val="both"/>
      </w:pPr>
      <w:r>
        <w:rPr>
          <w:rFonts w:ascii="Arial" w:cs="Arial" w:eastAsia="Arial" w:hAnsi="Arial"/>
          <w:sz w:val="24"/>
          <w:szCs w:val="24"/>
        </w:rPr>
        <w:t xml:space="preserve">26. Признать утратившими силу:</w:t>
      </w:r>
    </w:p>
    <w:p>
      <w:pPr>
        <w:spacing w:after="60"/>
        <w:ind w:firstLine="567"/>
        <w:jc w:val="both"/>
      </w:pPr>
      <w:r>
        <w:rPr>
          <w:rFonts w:ascii="Arial" w:cs="Arial" w:eastAsia="Arial" w:hAnsi="Arial"/>
          <w:sz w:val="24"/>
          <w:szCs w:val="24"/>
        </w:rPr>
        <w:t xml:space="preserve">- </w:t>
      </w:r>
      <w:hyperlink w:history="1" r:id="rId9nhg8z_yfhafjvbipqin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2017/2018 года" от 10 мая 2017 года № 262;</w:t>
      </w:r>
    </w:p>
    <w:p>
      <w:pPr>
        <w:spacing w:after="60"/>
        <w:ind w:firstLine="567"/>
        <w:jc w:val="both"/>
      </w:pPr>
      <w:r>
        <w:rPr>
          <w:rFonts w:ascii="Arial" w:cs="Arial" w:eastAsia="Arial" w:hAnsi="Arial"/>
          <w:sz w:val="24"/>
          <w:szCs w:val="24"/>
        </w:rPr>
        <w:t xml:space="preserve">- </w:t>
      </w:r>
      <w:hyperlink w:history="1" r:id="rIdhy-hc8vobjycab_08jse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m2tb9qmohlcr6kak7oj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2017/2018 года" от 10 мая 2017 года № 262" от 18 июля 2017 года № 434;</w:t>
      </w:r>
    </w:p>
    <w:p>
      <w:pPr>
        <w:spacing w:after="60"/>
        <w:ind w:firstLine="567"/>
        <w:jc w:val="both"/>
      </w:pPr>
      <w:r>
        <w:rPr>
          <w:rFonts w:ascii="Arial" w:cs="Arial" w:eastAsia="Arial" w:hAnsi="Arial"/>
          <w:sz w:val="24"/>
          <w:szCs w:val="24"/>
        </w:rPr>
        <w:t xml:space="preserve">- пункты 3 и 5 </w:t>
      </w:r>
      <w:hyperlink w:history="1" r:id="rIdncfze0zxp-rx0h6adkgk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ходе подготовке отраслей экономики и населения Кыргызской Республики к осенне-зимнему периоду 2017/2018 года" от 10 октября 2017 года № 657.</w:t>
      </w:r>
    </w:p>
    <w:p>
      <w:pPr>
        <w:spacing w:after="60"/>
        <w:ind w:firstLine="567"/>
        <w:jc w:val="both"/>
      </w:pPr>
      <w:r>
        <w:rPr>
          <w:rFonts w:ascii="Arial" w:cs="Arial" w:eastAsia="Arial" w:hAnsi="Arial"/>
          <w:sz w:val="24"/>
          <w:szCs w:val="24"/>
        </w:rPr>
        <w:t xml:space="preserve">27.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28.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ПЛАН МЕРОПРИЯТИЙ
 по подготовке отраслей экономики и населения Кыргызской Республики к осенне-зимнему периоду 2018/2019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
        <w:gridCol w:w="4727"/>
        <w:gridCol w:w="1484"/>
        <w:gridCol w:w="3579"/>
      </w:tblGrid>
      <w:tr>
        <w:tc>
          <w:tcPr>
            <w:tcW w:type="dxa" w:w="3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1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35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для ежемесячного рассмотрения хода подготовки к отопительному сезону, в первую очередь вопросов:</w:t>
            </w:r>
          </w:p>
          <w:p>
            <w:pPr>
              <w:jc w:val="left"/>
            </w:pPr>
            <w:r>
              <w:rPr>
                <w:rFonts w:ascii="Arial" w:cs="Arial" w:eastAsia="Arial" w:hAnsi="Arial"/>
                <w:sz w:val="24"/>
                <w:szCs w:val="24"/>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4"/>
                <w:szCs w:val="24"/>
              </w:rPr>
              <w:t xml:space="preserve">- о качестве подготовки социальных объектов к отопительному периоду;</w:t>
            </w:r>
          </w:p>
          <w:p>
            <w:pPr>
              <w:jc w:val="left"/>
            </w:pPr>
            <w:r>
              <w:rPr>
                <w:rFonts w:ascii="Arial" w:cs="Arial" w:eastAsia="Arial" w:hAnsi="Arial"/>
                <w:sz w:val="24"/>
                <w:szCs w:val="24"/>
              </w:rPr>
              <w:t xml:space="preserve">- о качестве подготовки жилого фонда к отопительному периоду;</w:t>
            </w:r>
          </w:p>
          <w:p>
            <w:pPr>
              <w:jc w:val="left"/>
            </w:pPr>
            <w:r>
              <w:rPr>
                <w:rFonts w:ascii="Arial" w:cs="Arial" w:eastAsia="Arial" w:hAnsi="Arial"/>
                <w:sz w:val="24"/>
                <w:szCs w:val="24"/>
              </w:rPr>
              <w:t xml:space="preserve">- об обеспеченности топливом социальных объектов, населения и своевременном выделении средств льготной категории граждан</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июля 2018 года</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Правительства Кыргызской Республики в областях (далее - аппараты полномочных представителей ПКР),
 по согласованию: мэрии городов Бишкек и Ош, предприятия топливно-энергетического комплекса (далее - предприятия ТЭК)</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Выполнять расчеты водно-энергетических режимов использования воды Токтогульского водохранилища на период 2018 года и I квартал 2019 года на основе прогноза и ожидаемого объема электропотребления</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"Электрические станции"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и распределительных электрокомпаний (при уточнении прогнозных данных уровня воды в Токтогульском водохранилище по фактическому притоку воды на 1 июля 2018 года)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"Национальная энергетическая холдинговая компания",
 ОАО "НЭС Кыргызстана"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"НЭС Кыргызстана"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контракты на передачу электрической энергии с распределительными электрокомпаниями, крупными промышленными предприятиями и другими лицензиатами, с установлением разрешенной к потреблению мощности по каждому присоединению, подключенному к подстанциям ОАО "НЭС Кыргызстана"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октября 2018 года</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
 ОАО "Северэлектро",
 ОАО "Востокэлектро",
 ОАО "Ошэлектро",
 ОАО "Жалалабатэлектро",
 крупные промышленные предприятия, оптовые покупатели-перепродавцы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работе в осенне-зимний период генерирующее оборудование на электростанциях и несение установленных мощностей ТЭЦ города Бишкек согласно приложениям 15 и 16 к настоящему постановлению</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графику ремонта</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"Электрические станции"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согласовать температурный график работы теплосети и обеспечивать его безусловное выполнение</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октября 2018 года</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
 ОАО "Электрические станции"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представление ОАО "НЭС Кыргызстана" часовых суточных графиков потребления электрической энергии и мощности на основании заданий согласно приложениям </w:t>
            </w:r>
            <w:r>
              <w:rPr>
                <w:rFonts w:ascii="Arial" w:cs="Arial" w:eastAsia="Arial" w:hAnsi="Arial"/>
                <w:sz w:val="24"/>
                <w:szCs w:val="24"/>
              </w:rPr>
              <w:t xml:space="preserve">2</w:t>
            </w:r>
            <w:r>
              <w:rPr>
                <w:rFonts w:ascii="Arial" w:cs="Arial" w:eastAsia="Arial" w:hAnsi="Arial"/>
                <w:sz w:val="24"/>
                <w:szCs w:val="24"/>
              </w:rPr>
              <w:t xml:space="preserve">-11 к настоящему постановлению и заключенным контрактам;</w:t>
            </w:r>
          </w:p>
          <w:p>
            <w:pPr>
              <w:jc w:val="left"/>
            </w:pPr>
            <w:r>
              <w:rPr>
                <w:rFonts w:ascii="Arial" w:cs="Arial" w:eastAsia="Arial" w:hAnsi="Arial"/>
                <w:sz w:val="24"/>
                <w:szCs w:val="24"/>
              </w:rPr>
              <w:t xml:space="preserve">- не допускать превышения разрешенной суточными графиками величины передаваемой ОАО "НЭС Кыргызстана" электрической энергии и мощности;</w:t>
            </w:r>
          </w:p>
          <w:p>
            <w:pPr>
              <w:jc w:val="left"/>
            </w:pPr>
            <w:r>
              <w:rPr>
                <w:rFonts w:ascii="Arial" w:cs="Arial" w:eastAsia="Arial" w:hAnsi="Arial"/>
                <w:sz w:val="24"/>
                <w:szCs w:val="24"/>
              </w:rPr>
              <w:t xml:space="preserve">- разработать, согласовать, утвердить, довести до потребителей и соблюдать графики ограничения местной разгрузки;</w:t>
            </w:r>
          </w:p>
          <w:p>
            <w:pPr>
              <w:jc w:val="left"/>
            </w:pPr>
            <w:r>
              <w:rPr>
                <w:rFonts w:ascii="Arial" w:cs="Arial" w:eastAsia="Arial" w:hAnsi="Arial"/>
                <w:sz w:val="24"/>
                <w:szCs w:val="24"/>
              </w:rPr>
              <w:t xml:space="preserve">- отключать от подстанции линии электропередачи, на которых допускается превышение потребления электрической энергии и мощности, в объемах, задаваемых ОАО "НЭС Кыргызстана", в целях предотвращения возникновения аварийной ситуации в энергосистеме или для разгрузки перегружаемых линий и трансформаторов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лицензиаты на передачу и поставку электрической энергии (по согласованию)</w:t>
            </w:r>
          </w:p>
          <w:p>
            <w:pPr>
              <w:jc w:val="left"/>
            </w:pPr>
            <w:r>
              <w:rPr>
                <w:rFonts w:ascii="Arial" w:cs="Arial" w:eastAsia="Arial" w:hAnsi="Arial"/>
                <w:sz w:val="24"/>
                <w:szCs w:val="24"/>
              </w:rPr>
              <w:t xml:space="preserve">Предприятия ТЭК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работ по капитальному ремонту, повышению надежности энергоснабжения и созданию аварийного запаса материально-технических ресурсов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графиком</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нарушения установленного режима потребления электроэнергии и самовольном подключении электрического отопительного оборудования в установленном порядке производить аннулирование технических условий у потребителей, имеющих трехфазный ввод</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распределение электрической энергии и мощности организациям в пределах величины выделенного лимита потребления электроэнергии и мощности, установленных приложениями </w:t>
            </w:r>
            <w:r>
              <w:rPr>
                <w:rFonts w:ascii="Arial" w:cs="Arial" w:eastAsia="Arial" w:hAnsi="Arial"/>
                <w:sz w:val="24"/>
                <w:szCs w:val="24"/>
              </w:rPr>
              <w:t xml:space="preserve">2</w:t>
            </w:r>
            <w:r>
              <w:rPr>
                <w:rFonts w:ascii="Arial" w:cs="Arial" w:eastAsia="Arial" w:hAnsi="Arial"/>
                <w:sz w:val="24"/>
                <w:szCs w:val="24"/>
              </w:rPr>
              <w:t xml:space="preserve">-11 к настоящему постановлению</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ПКР,
 по согласованию:
 предприятия ТЭК,
 ОАО "Национальная энергетическая холдинговая компания",
 ОАО "Северэлектро",
 ОАО "Ошэлектро",
 ОАО "Востокэлектро",
 ОАО "Жалалабатэлектро",
 мэрии городов Бишкек и Ош</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в полном объеме и в приоритетном порядке оплату за потребленную бюджетными организациями электрическую и тепловую энергию и природный газ</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местные государственные администрации</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подачу электрической и тепловой энергии и природного газа потребителям при наличии дебиторской задолженности</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 осенне-зимний период 2018/2019 года в полном объеме поставку угля для населения на стационарные топливные базы и пункты реализации угля согласно заключенным договорам и, в случае необходимости, создавать дополнительные топливные базы в населенных пунктах, где пункты отсутствуют</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августа 2018 года по 1 марта 2019 года</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ГП "Кыргызкомур",
 по согласованию: органы местного самоуправления, угледобывающие предприятия</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Принимать меры по обеспечению ритмичной отгрузки угля на угольных разрезах для обеспечения углем население и бюджетные учреждения республики</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августа 2018 года по 1 марта 2019 года</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"Кыргызкомур"</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условиях, недоступных для использования другой техники</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ГКДО,
 (по согласованию):
 ОАО "НЭС Кыргызстана",
 ОАО "Северэлектро",
 ОАО "Ошэлектро",
 ОАО "Востокэлектро",
 ОАО "Жалалабатэлектро"</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разъяснительную работу среди населения через средства массовой информации о сложившейся ситуации с накоплением воды в Токтогульском водохранилище, о необходимости своевременного погашения задолженности за потребленные электрическую, тепловую энергию и природный газ, экономном использовании электрической энергии, рационального и эффективного использования топлива и энергии, энергосбережения и заготовки топлива, о проводимых мероприятиях по успешному прохождению предстоящего отопительного периода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ПКР;
 по согласованию:
 мэрии городов Бишкек и Ош,
 предприятия ТЭК,
 ОАО "Национальная энергетическая холдинговая компания"</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следующие меры по повышению надежности работы ТЭЦ гор. Бишкек в осенне-зимний период 2018/2019 года:</w:t>
            </w:r>
          </w:p>
          <w:p>
            <w:pPr>
              <w:jc w:val="left"/>
            </w:pPr>
            <w:r>
              <w:rPr>
                <w:rFonts w:ascii="Arial" w:cs="Arial" w:eastAsia="Arial" w:hAnsi="Arial"/>
                <w:sz w:val="24"/>
                <w:szCs w:val="24"/>
              </w:rPr>
              <w:t xml:space="preserve">- в установленный срок произвести капитальный ремонт главного производственного здания котельного и турбинного цехов;</w:t>
            </w:r>
          </w:p>
          <w:p>
            <w:pPr>
              <w:jc w:val="left"/>
            </w:pPr>
            <w:r>
              <w:rPr>
                <w:rFonts w:ascii="Arial" w:cs="Arial" w:eastAsia="Arial" w:hAnsi="Arial"/>
                <w:sz w:val="24"/>
                <w:szCs w:val="24"/>
              </w:rPr>
              <w:t xml:space="preserve">- разработать и внедрить систему обогрева импульсных линий котлотурбоагрегатов;</w:t>
            </w:r>
          </w:p>
          <w:p>
            <w:pPr>
              <w:jc w:val="left"/>
            </w:pPr>
            <w:r>
              <w:rPr>
                <w:rFonts w:ascii="Arial" w:cs="Arial" w:eastAsia="Arial" w:hAnsi="Arial"/>
                <w:sz w:val="24"/>
                <w:szCs w:val="24"/>
              </w:rPr>
              <w:t xml:space="preserve">- усовершенствовать приборы КИП и автоматики, заменить в цехах насосы, исчерпавшие свой ресурс;</w:t>
            </w:r>
          </w:p>
          <w:p>
            <w:pPr>
              <w:jc w:val="left"/>
            </w:pPr>
            <w:r>
              <w:rPr>
                <w:rFonts w:ascii="Arial" w:cs="Arial" w:eastAsia="Arial" w:hAnsi="Arial"/>
                <w:sz w:val="24"/>
                <w:szCs w:val="24"/>
              </w:rPr>
              <w:t xml:space="preserve">- произвести реконструкцию 1-й очереди ХОВ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ноября 2018 года</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"Электрические станции" (по согласованию)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следующие меры по обеспечению стабильного прохождения отопительного периода 2018/2019 года:</w:t>
            </w:r>
          </w:p>
          <w:p>
            <w:pPr>
              <w:jc w:val="left"/>
            </w:pPr>
            <w:r>
              <w:rPr>
                <w:rFonts w:ascii="Arial" w:cs="Arial" w:eastAsia="Arial" w:hAnsi="Arial"/>
                <w:sz w:val="24"/>
                <w:szCs w:val="24"/>
              </w:rPr>
              <w:t xml:space="preserve">- замена кабельной линии и трансформаторов 500 кВ на 1-м и 4-м гидроагрегатах Токтогульской ГЭС;</w:t>
            </w:r>
          </w:p>
          <w:p>
            <w:pPr>
              <w:jc w:val="left"/>
            </w:pPr>
            <w:r>
              <w:rPr>
                <w:rFonts w:ascii="Arial" w:cs="Arial" w:eastAsia="Arial" w:hAnsi="Arial"/>
                <w:sz w:val="24"/>
                <w:szCs w:val="24"/>
              </w:rPr>
              <w:t xml:space="preserve">- завершение строительства ПС 110 кВ "Бишкек" и осуществление строительства 2-й очереди ПС 110 кВ "Таш-Булак", 3-й очереди ПС 110 кВ "Центр", 3-й очереди ПС 110 кВ "Промышленная" и реконструкцию на 5-ти ПС 110 кВ</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ноября 2018 года</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"Электрические станции",
 ОАО "НЭС Кыргызстана" (по согласованию)</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Джалал-Абадской области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gpbg-p4t1lctp10jkpku">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449"/>
        <w:gridCol w:w="663"/>
        <w:gridCol w:w="637"/>
        <w:gridCol w:w="637"/>
        <w:gridCol w:w="637"/>
        <w:gridCol w:w="637"/>
        <w:gridCol w:w="637"/>
        <w:gridCol w:w="637"/>
        <w:gridCol w:w="637"/>
        <w:gridCol w:w="637"/>
        <w:gridCol w:w="637"/>
        <w:gridCol w:w="637"/>
        <w:gridCol w:w="637"/>
        <w:gridCol w:w="637"/>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4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33"/>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1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области, всего:</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2054,321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103,464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206,980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247,644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278,526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248,561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228,774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1659,535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89,868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169,300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203,176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207,451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191,861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25,861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0,195</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14</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Ошской области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iab2l847vgayddgxrxnvn">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
        <w:gridCol w:w="1484"/>
        <w:gridCol w:w="678"/>
        <w:gridCol w:w="625"/>
        <w:gridCol w:w="625"/>
        <w:gridCol w:w="625"/>
        <w:gridCol w:w="625"/>
        <w:gridCol w:w="625"/>
        <w:gridCol w:w="625"/>
        <w:gridCol w:w="625"/>
        <w:gridCol w:w="625"/>
        <w:gridCol w:w="625"/>
        <w:gridCol w:w="652"/>
        <w:gridCol w:w="652"/>
        <w:gridCol w:w="652"/>
      </w:tblGrid>
      <w:tr>
        <w:tc>
          <w:tcPr>
            <w:tcW w:type="dxa" w:w="4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62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5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области, всего: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1272,543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85,784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66,614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73,697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76,323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76,636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110,582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129,865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158,040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153,182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133,706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133,265</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1088,149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77,782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65,592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57,570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60,687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58,356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58,755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92,170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111,552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138,313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135,043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116,327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116,002</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141,072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13,013</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потерн ОАО "НЭС Кыргызстана"</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43,275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4,248</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0,0019</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местным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138,700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27,606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городу Ош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wq1zqzkflc-dloogkdph">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
        <w:gridCol w:w="1321"/>
        <w:gridCol w:w="625"/>
        <w:gridCol w:w="642"/>
        <w:gridCol w:w="642"/>
        <w:gridCol w:w="642"/>
        <w:gridCol w:w="642"/>
        <w:gridCol w:w="642"/>
        <w:gridCol w:w="642"/>
        <w:gridCol w:w="642"/>
        <w:gridCol w:w="642"/>
        <w:gridCol w:w="642"/>
        <w:gridCol w:w="670"/>
        <w:gridCol w:w="670"/>
        <w:gridCol w:w="670"/>
      </w:tblGrid>
      <w:tr>
        <w:tc>
          <w:tcPr>
            <w:tcW w:type="dxa" w:w="4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78"/>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20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городу, всего:</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995,685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64,779</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52,102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46,099</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47,657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44,920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45,993</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71,056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99,762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145,426</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138,251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123,780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115,859</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914,466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60,297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47,746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42,041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43,404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40,620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41,718</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65,877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90,225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133,989</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127,404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114,311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106,834</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27,999</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2,638</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2,335</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1,875</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5,385</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4,463</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3,599</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0,0043</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0,0003</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0,0003</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0,0018</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0,0046</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0,0033</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0,0016</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0,349</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0,443</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3,715</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3,597</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2,955</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городу (МВт)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3,495</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0,258</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0,402</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0,241</w:t>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ТЭЦ города Ош:</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Баткенской области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blv4lmnsf58yhwtrunabw">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1309"/>
        <w:gridCol w:w="629"/>
        <w:gridCol w:w="648"/>
        <w:gridCol w:w="648"/>
        <w:gridCol w:w="648"/>
        <w:gridCol w:w="648"/>
        <w:gridCol w:w="648"/>
        <w:gridCol w:w="648"/>
        <w:gridCol w:w="648"/>
        <w:gridCol w:w="648"/>
        <w:gridCol w:w="648"/>
        <w:gridCol w:w="652"/>
        <w:gridCol w:w="652"/>
        <w:gridCol w:w="652"/>
      </w:tblGrid>
      <w:tr>
        <w:tc>
          <w:tcPr>
            <w:tcW w:type="dxa" w:w="4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3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5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области, всего:</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873,023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64,705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58,551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52,088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57,544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57,065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54,145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70,066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80,158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102,972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96,988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91,221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87,522</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693,020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46,548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38,176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36,741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33,156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55,941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97,030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91,664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80,897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75,127</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150,377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16,946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18,825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20,522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7,292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9,605</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29,609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0,0001</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22,970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063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ПС по делам обороны,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Чуйской области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kmiyysywlszlygpdc4cj8">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1435"/>
        <w:gridCol w:w="668"/>
        <w:gridCol w:w="635"/>
        <w:gridCol w:w="635"/>
        <w:gridCol w:w="635"/>
        <w:gridCol w:w="635"/>
        <w:gridCol w:w="635"/>
        <w:gridCol w:w="635"/>
        <w:gridCol w:w="635"/>
        <w:gridCol w:w="635"/>
        <w:gridCol w:w="635"/>
        <w:gridCol w:w="635"/>
        <w:gridCol w:w="635"/>
        <w:gridCol w:w="635"/>
      </w:tblGrid>
      <w:tr>
        <w:tc>
          <w:tcPr>
            <w:tcW w:type="dxa" w:w="4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1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0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области, всего:</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3716,947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251,397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210,858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189,528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197,464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212,445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326,646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399,387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437,152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454,082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414,210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410,850</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2697,062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192,981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154,714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231,036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295,115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326,711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308,578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309,848</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649,169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63,366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65,766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60,520</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369,793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15,747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21,738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29,802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54,864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40,294</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0,188</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318,970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4,970</w:t>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0,307</w:t>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Таласской области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7ccedkk6fmdwv6g_dhrz1">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1504"/>
        <w:gridCol w:w="617"/>
        <w:gridCol w:w="634"/>
        <w:gridCol w:w="634"/>
        <w:gridCol w:w="634"/>
        <w:gridCol w:w="634"/>
        <w:gridCol w:w="634"/>
        <w:gridCol w:w="634"/>
        <w:gridCol w:w="634"/>
        <w:gridCol w:w="634"/>
        <w:gridCol w:w="634"/>
        <w:gridCol w:w="637"/>
        <w:gridCol w:w="637"/>
        <w:gridCol w:w="637"/>
      </w:tblGrid>
      <w:tr>
        <w:tc>
          <w:tcPr>
            <w:tcW w:type="dxa" w:w="4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0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1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области, всего: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502,981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29,646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22,366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21,161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44,222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59,044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67,673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59,328</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430,573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28,185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18,488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18,809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36,221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50,909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57,798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51,259</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5,462</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22,652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0,136</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3,373</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8</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городу Бишкек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vjtmoaisxo30ojvjr4wi2">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455"/>
        <w:gridCol w:w="662"/>
        <w:gridCol w:w="636"/>
        <w:gridCol w:w="636"/>
        <w:gridCol w:w="636"/>
        <w:gridCol w:w="636"/>
        <w:gridCol w:w="636"/>
        <w:gridCol w:w="636"/>
        <w:gridCol w:w="636"/>
        <w:gridCol w:w="636"/>
        <w:gridCol w:w="636"/>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2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3534,827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232,342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197,273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204,960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186,238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181,723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301,202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383,128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426,737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440,366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403,185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386,142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2777,560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155,286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152,616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160,532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140,315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237,396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301,331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327,928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347,878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315,681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306,507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447,027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43,694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41,574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28,051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городу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0,468</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Нарынской области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lftow3lhrnmkyaqbofm54">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1504"/>
        <w:gridCol w:w="617"/>
        <w:gridCol w:w="634"/>
        <w:gridCol w:w="634"/>
        <w:gridCol w:w="634"/>
        <w:gridCol w:w="634"/>
        <w:gridCol w:w="634"/>
        <w:gridCol w:w="634"/>
        <w:gridCol w:w="634"/>
        <w:gridCol w:w="634"/>
        <w:gridCol w:w="634"/>
        <w:gridCol w:w="637"/>
        <w:gridCol w:w="637"/>
        <w:gridCol w:w="637"/>
      </w:tblGrid>
      <w:tr>
        <w:tc>
          <w:tcPr>
            <w:tcW w:type="dxa" w:w="4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0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1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области, всего: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692,457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42,074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35,394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34,756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33,759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52,717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68,268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80,582</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667,171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43,623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33,545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32,421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50,737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83,358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78,000</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2,413</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0,136</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10</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Иссык-Кульской области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b08aaur32z1b9nncownre">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4"/>
        <w:gridCol w:w="1434"/>
        <w:gridCol w:w="669"/>
        <w:gridCol w:w="618"/>
        <w:gridCol w:w="618"/>
        <w:gridCol w:w="618"/>
        <w:gridCol w:w="618"/>
        <w:gridCol w:w="618"/>
        <w:gridCol w:w="618"/>
        <w:gridCol w:w="618"/>
        <w:gridCol w:w="618"/>
        <w:gridCol w:w="618"/>
        <w:gridCol w:w="653"/>
        <w:gridCol w:w="653"/>
        <w:gridCol w:w="653"/>
      </w:tblGrid>
      <w:tr>
        <w:tc>
          <w:tcPr>
            <w:tcW w:type="dxa" w:w="5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5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области, всего:</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1527,322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104,830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78,276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92,468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87,284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123,404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160,971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183,873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192,328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168,887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163,036</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1082,044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57,798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57,804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56,592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117,141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134,814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120,500</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4,131</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компании "КГК"</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308,785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21,843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28,530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27,801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27,315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27,710</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98,077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13,529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10,589</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"КГК" (МВт)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2,142</w:t>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0,234</w:t>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объемы необходимого запаса топлива по Кыргызской Республике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t0bw2sq8psb0gqpxyhfi8">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1403"/>
        <w:gridCol w:w="704"/>
        <w:gridCol w:w="622"/>
        <w:gridCol w:w="622"/>
        <w:gridCol w:w="622"/>
        <w:gridCol w:w="622"/>
        <w:gridCol w:w="622"/>
        <w:gridCol w:w="622"/>
        <w:gridCol w:w="622"/>
        <w:gridCol w:w="622"/>
        <w:gridCol w:w="622"/>
        <w:gridCol w:w="653"/>
        <w:gridCol w:w="653"/>
        <w:gridCol w:w="653"/>
      </w:tblGrid>
      <w:tr>
        <w:tc>
          <w:tcPr>
            <w:tcW w:type="dxa" w:w="5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7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98"/>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5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 час)</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республике, всего:</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15170,106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1002,370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858,537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794,111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852,512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847,371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821,159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1243,149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1587,562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1856,749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1913,486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1727,742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1665,358</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.1.1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там числе: план потребления электроэнергии по РЭК</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12069,581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809,432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673,417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617,460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648,351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602,235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591,951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971,057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1271,137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1503,979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1565,819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1398,805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1355,938</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КГПТ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1564,249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142,559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140,696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142,342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148,858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141,793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142,215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142,926</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компании "КГК"</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308,785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21,843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27,801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27,315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27,710</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967,533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54,116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52,254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60,774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50,927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76,901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128,754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130,980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116,886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102,264</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0,488</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316,651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13,544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41,997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36,032</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республике с учетом транзитных потерь ОАО "НЭС Кыргызстана" (МВт)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2645</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"КГК" (МВт)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 (МВт)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республике, всего:</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мэрия города Ош</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1083,474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195,812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176,641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168,106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121,925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98,905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10,485</w:t>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0,2310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0,2630</w:t>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0,762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w:t>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0,397</w:t>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47,294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г)</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Ош:</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b/>
          <w:bCs/>
          <w:sz w:val="24"/>
          <w:szCs w:val="24"/>
        </w:rPr>
        <w:t xml:space="preserve">РЭК</w:t>
      </w:r>
      <w:r>
        <w:rPr>
          <w:rFonts w:ascii="Arial" w:cs="Arial" w:eastAsia="Arial" w:hAnsi="Arial"/>
          <w:sz w:val="24"/>
          <w:szCs w:val="24"/>
        </w:rPr>
        <w:t xml:space="preserve"> - распределительная электрическая компания;</w:t>
      </w:r>
    </w:p>
    <w:p>
      <w:pPr>
        <w:spacing w:after="60"/>
        <w:ind w:firstLine="567"/>
        <w:jc w:val="both"/>
      </w:pPr>
      <w:r>
        <w:rPr>
          <w:rFonts w:ascii="Arial" w:cs="Arial" w:eastAsia="Arial" w:hAnsi="Arial"/>
          <w:b/>
          <w:bCs/>
          <w:sz w:val="24"/>
          <w:szCs w:val="24"/>
        </w:rPr>
        <w:t xml:space="preserve">КПП</w:t>
      </w:r>
      <w:r>
        <w:rPr>
          <w:rFonts w:ascii="Arial" w:cs="Arial" w:eastAsia="Arial" w:hAnsi="Arial"/>
          <w:sz w:val="24"/>
          <w:szCs w:val="24"/>
        </w:rPr>
        <w:t xml:space="preserve"> - крупный промышленный потребитель;</w:t>
      </w:r>
    </w:p>
    <w:p>
      <w:pPr>
        <w:spacing w:after="60"/>
        <w:ind w:firstLine="567"/>
        <w:jc w:val="both"/>
      </w:pPr>
      <w:r>
        <w:rPr>
          <w:rFonts w:ascii="Arial" w:cs="Arial" w:eastAsia="Arial" w:hAnsi="Arial"/>
          <w:b/>
          <w:bCs/>
          <w:sz w:val="24"/>
          <w:szCs w:val="24"/>
        </w:rPr>
        <w:t xml:space="preserve">ОАО</w:t>
      </w:r>
      <w:r>
        <w:rPr>
          <w:rFonts w:ascii="Arial" w:cs="Arial" w:eastAsia="Arial" w:hAnsi="Arial"/>
          <w:sz w:val="24"/>
          <w:szCs w:val="24"/>
        </w:rPr>
        <w:t xml:space="preserve"> - открытое акционерное общество;</w:t>
      </w:r>
    </w:p>
    <w:p>
      <w:pPr>
        <w:spacing w:after="60"/>
        <w:ind w:firstLine="567"/>
        <w:jc w:val="both"/>
      </w:pPr>
      <w:r>
        <w:rPr>
          <w:rFonts w:ascii="Arial" w:cs="Arial" w:eastAsia="Arial" w:hAnsi="Arial"/>
          <w:b/>
          <w:bCs/>
          <w:sz w:val="24"/>
          <w:szCs w:val="24"/>
        </w:rPr>
        <w:t xml:space="preserve">ОАО "НЭС Кыргызстана"</w:t>
      </w:r>
      <w:r>
        <w:rPr>
          <w:rFonts w:ascii="Arial" w:cs="Arial" w:eastAsia="Arial" w:hAnsi="Arial"/>
          <w:sz w:val="24"/>
          <w:szCs w:val="24"/>
        </w:rPr>
        <w:t xml:space="preserve"> - открытое акционерное общество "Национальная электрическая сеть Кыргызстана";</w:t>
      </w:r>
    </w:p>
    <w:p>
      <w:pPr>
        <w:spacing w:after="60"/>
        <w:ind w:firstLine="567"/>
        <w:jc w:val="both"/>
      </w:pPr>
      <w:r>
        <w:rPr>
          <w:rFonts w:ascii="Arial" w:cs="Arial" w:eastAsia="Arial" w:hAnsi="Arial"/>
          <w:b/>
          <w:bCs/>
          <w:sz w:val="24"/>
          <w:szCs w:val="24"/>
        </w:rPr>
        <w:t xml:space="preserve">ФОМС</w:t>
      </w:r>
      <w:r>
        <w:rPr>
          <w:rFonts w:ascii="Arial" w:cs="Arial" w:eastAsia="Arial" w:hAnsi="Arial"/>
          <w:sz w:val="24"/>
          <w:szCs w:val="24"/>
        </w:rPr>
        <w:t xml:space="preserve"> - Фонд обязательного медицинского страхования при Правительстве Кыргызской Республики;</w:t>
      </w:r>
    </w:p>
    <w:p>
      <w:pPr>
        <w:spacing w:after="60"/>
        <w:ind w:firstLine="567"/>
        <w:jc w:val="both"/>
      </w:pPr>
      <w:r>
        <w:rPr>
          <w:rFonts w:ascii="Arial" w:cs="Arial" w:eastAsia="Arial" w:hAnsi="Arial"/>
          <w:b/>
          <w:bCs/>
          <w:sz w:val="24"/>
          <w:szCs w:val="24"/>
        </w:rPr>
        <w:t xml:space="preserve">МОН</w:t>
      </w:r>
      <w:r>
        <w:rPr>
          <w:rFonts w:ascii="Arial" w:cs="Arial" w:eastAsia="Arial" w:hAnsi="Arial"/>
          <w:sz w:val="24"/>
          <w:szCs w:val="24"/>
        </w:rPr>
        <w:t xml:space="preserve"> - Министерство образования и науки Кыргызской Республики;</w:t>
      </w:r>
    </w:p>
    <w:p>
      <w:pPr>
        <w:spacing w:after="60"/>
        <w:ind w:firstLine="567"/>
        <w:jc w:val="both"/>
      </w:pPr>
      <w:r>
        <w:rPr>
          <w:rFonts w:ascii="Arial" w:cs="Arial" w:eastAsia="Arial" w:hAnsi="Arial"/>
          <w:b/>
          <w:bCs/>
          <w:sz w:val="24"/>
          <w:szCs w:val="24"/>
        </w:rPr>
        <w:t xml:space="preserve">ГП</w:t>
      </w:r>
      <w:r>
        <w:rPr>
          <w:rFonts w:ascii="Arial" w:cs="Arial" w:eastAsia="Arial" w:hAnsi="Arial"/>
          <w:sz w:val="24"/>
          <w:szCs w:val="24"/>
        </w:rPr>
        <w:t xml:space="preserve"> - государственное предприятие;</w:t>
      </w:r>
    </w:p>
    <w:p>
      <w:pPr>
        <w:spacing w:after="60"/>
        <w:ind w:firstLine="567"/>
        <w:jc w:val="both"/>
      </w:pPr>
      <w:r>
        <w:rPr>
          <w:rFonts w:ascii="Arial" w:cs="Arial" w:eastAsia="Arial" w:hAnsi="Arial"/>
          <w:b/>
          <w:bCs/>
          <w:sz w:val="24"/>
          <w:szCs w:val="24"/>
        </w:rPr>
        <w:t xml:space="preserve">КП</w:t>
      </w:r>
      <w:r>
        <w:rPr>
          <w:rFonts w:ascii="Arial" w:cs="Arial" w:eastAsia="Arial" w:hAnsi="Arial"/>
          <w:sz w:val="24"/>
          <w:szCs w:val="24"/>
        </w:rPr>
        <w:t xml:space="preserve"> - коммунальное предприятие;</w:t>
      </w:r>
    </w:p>
    <w:p>
      <w:pPr>
        <w:spacing w:after="60"/>
        <w:ind w:firstLine="567"/>
        <w:jc w:val="both"/>
      </w:pPr>
      <w:r>
        <w:rPr>
          <w:rFonts w:ascii="Arial" w:cs="Arial" w:eastAsia="Arial" w:hAnsi="Arial"/>
          <w:b/>
          <w:bCs/>
          <w:sz w:val="24"/>
          <w:szCs w:val="24"/>
        </w:rPr>
        <w:t xml:space="preserve">Минздрав</w:t>
      </w:r>
      <w:r>
        <w:rPr>
          <w:rFonts w:ascii="Arial" w:cs="Arial" w:eastAsia="Arial" w:hAnsi="Arial"/>
          <w:sz w:val="24"/>
          <w:szCs w:val="24"/>
        </w:rPr>
        <w:t xml:space="preserve"> - Министерство здравоохранения Кыргызской Республики;</w:t>
      </w:r>
    </w:p>
    <w:p>
      <w:pPr>
        <w:spacing w:after="60"/>
        <w:ind w:firstLine="567"/>
        <w:jc w:val="both"/>
      </w:pPr>
      <w:r>
        <w:rPr>
          <w:rFonts w:ascii="Arial" w:cs="Arial" w:eastAsia="Arial" w:hAnsi="Arial"/>
          <w:b/>
          <w:bCs/>
          <w:sz w:val="24"/>
          <w:szCs w:val="24"/>
        </w:rPr>
        <w:t xml:space="preserve">МЧС</w:t>
      </w:r>
      <w:r>
        <w:rPr>
          <w:rFonts w:ascii="Arial" w:cs="Arial" w:eastAsia="Arial" w:hAnsi="Arial"/>
          <w:sz w:val="24"/>
          <w:szCs w:val="24"/>
        </w:rPr>
        <w:t xml:space="preserve"> - Министерство чрезвычайных ситуаций Кыргызской Республики;</w:t>
      </w:r>
    </w:p>
    <w:p>
      <w:pPr>
        <w:spacing w:after="60"/>
        <w:ind w:firstLine="567"/>
        <w:jc w:val="both"/>
      </w:pPr>
      <w:r>
        <w:rPr>
          <w:rFonts w:ascii="Arial" w:cs="Arial" w:eastAsia="Arial" w:hAnsi="Arial"/>
          <w:b/>
          <w:bCs/>
          <w:sz w:val="24"/>
          <w:szCs w:val="24"/>
        </w:rPr>
        <w:t xml:space="preserve">МВД</w:t>
      </w:r>
      <w:r>
        <w:rPr>
          <w:rFonts w:ascii="Arial" w:cs="Arial" w:eastAsia="Arial" w:hAnsi="Arial"/>
          <w:sz w:val="24"/>
          <w:szCs w:val="24"/>
        </w:rPr>
        <w:t xml:space="preserve"> - Министерство внутренних дел Кыргызской Республики;</w:t>
      </w:r>
    </w:p>
    <w:p>
      <w:pPr>
        <w:spacing w:after="60"/>
        <w:ind w:firstLine="567"/>
        <w:jc w:val="both"/>
      </w:pPr>
      <w:r>
        <w:rPr>
          <w:rFonts w:ascii="Arial" w:cs="Arial" w:eastAsia="Arial" w:hAnsi="Arial"/>
          <w:b/>
          <w:bCs/>
          <w:sz w:val="24"/>
          <w:szCs w:val="24"/>
        </w:rPr>
        <w:t xml:space="preserve">ГК по делам обороны</w:t>
      </w:r>
      <w:r>
        <w:rPr>
          <w:rFonts w:ascii="Arial" w:cs="Arial" w:eastAsia="Arial" w:hAnsi="Arial"/>
          <w:sz w:val="24"/>
          <w:szCs w:val="24"/>
        </w:rPr>
        <w:t xml:space="preserve"> - Государственный комитет по делам обороны Кыргызской Республики;</w:t>
      </w:r>
    </w:p>
    <w:p>
      <w:pPr>
        <w:spacing w:after="60"/>
        <w:ind w:firstLine="567"/>
        <w:jc w:val="both"/>
      </w:pPr>
      <w:r>
        <w:rPr>
          <w:rFonts w:ascii="Arial" w:cs="Arial" w:eastAsia="Arial" w:hAnsi="Arial"/>
          <w:b/>
          <w:bCs/>
          <w:sz w:val="24"/>
          <w:szCs w:val="24"/>
        </w:rPr>
        <w:t xml:space="preserve">ГПС</w:t>
      </w:r>
      <w:r>
        <w:rPr>
          <w:rFonts w:ascii="Arial" w:cs="Arial" w:eastAsia="Arial" w:hAnsi="Arial"/>
          <w:sz w:val="24"/>
          <w:szCs w:val="24"/>
        </w:rPr>
        <w:t xml:space="preserve"> - Государственная пограничная служба Кыргызской Республики;</w:t>
      </w:r>
    </w:p>
    <w:p>
      <w:pPr>
        <w:spacing w:after="60"/>
        <w:ind w:firstLine="567"/>
        <w:jc w:val="both"/>
      </w:pPr>
      <w:r>
        <w:rPr>
          <w:rFonts w:ascii="Arial" w:cs="Arial" w:eastAsia="Arial" w:hAnsi="Arial"/>
          <w:b/>
          <w:bCs/>
          <w:sz w:val="24"/>
          <w:szCs w:val="24"/>
        </w:rPr>
        <w:t xml:space="preserve">ГСИН</w:t>
      </w:r>
      <w:r>
        <w:rPr>
          <w:rFonts w:ascii="Arial" w:cs="Arial" w:eastAsia="Arial" w:hAnsi="Arial"/>
          <w:sz w:val="24"/>
          <w:szCs w:val="24"/>
        </w:rPr>
        <w:t xml:space="preserve"> - Государственная служба исполнения наказаний при Правительстве Кыргызской Республики;</w:t>
      </w:r>
    </w:p>
    <w:p>
      <w:pPr>
        <w:spacing w:after="60"/>
        <w:ind w:firstLine="567"/>
        <w:jc w:val="both"/>
      </w:pPr>
      <w:r>
        <w:rPr>
          <w:rFonts w:ascii="Arial" w:cs="Arial" w:eastAsia="Arial" w:hAnsi="Arial"/>
          <w:b/>
          <w:bCs/>
          <w:sz w:val="24"/>
          <w:szCs w:val="24"/>
        </w:rPr>
        <w:t xml:space="preserve">Минтруда и соцразвития</w:t>
      </w:r>
      <w:r>
        <w:rPr>
          <w:rFonts w:ascii="Arial" w:cs="Arial" w:eastAsia="Arial" w:hAnsi="Arial"/>
          <w:sz w:val="24"/>
          <w:szCs w:val="24"/>
        </w:rPr>
        <w:t xml:space="preserve"> - Министерство труда и социального развития Кыргызской Республики;</w:t>
      </w:r>
    </w:p>
    <w:p>
      <w:pPr>
        <w:spacing w:after="60"/>
        <w:ind w:firstLine="567"/>
        <w:jc w:val="both"/>
      </w:pPr>
      <w:r>
        <w:rPr>
          <w:rFonts w:ascii="Arial" w:cs="Arial" w:eastAsia="Arial" w:hAnsi="Arial"/>
          <w:b/>
          <w:bCs/>
          <w:sz w:val="24"/>
          <w:szCs w:val="24"/>
        </w:rPr>
        <w:t xml:space="preserve">Агентство НПО при МОН</w:t>
      </w:r>
      <w:r>
        <w:rPr>
          <w:rFonts w:ascii="Arial" w:cs="Arial" w:eastAsia="Arial" w:hAnsi="Arial"/>
          <w:sz w:val="24"/>
          <w:szCs w:val="24"/>
        </w:rPr>
        <w:t xml:space="preserve"> - Агентство начального профессионального образования при Министерстве образования и науки Кыргызской Республики;</w:t>
      </w:r>
    </w:p>
    <w:p>
      <w:pPr>
        <w:spacing w:after="60"/>
        <w:ind w:firstLine="567"/>
        <w:jc w:val="both"/>
      </w:pPr>
      <w:r>
        <w:rPr>
          <w:rFonts w:ascii="Arial" w:cs="Arial" w:eastAsia="Arial" w:hAnsi="Arial"/>
          <w:b/>
          <w:bCs/>
          <w:sz w:val="24"/>
          <w:szCs w:val="24"/>
        </w:rPr>
        <w:t xml:space="preserve">МП</w:t>
      </w:r>
      <w:r>
        <w:rPr>
          <w:rFonts w:ascii="Arial" w:cs="Arial" w:eastAsia="Arial" w:hAnsi="Arial"/>
          <w:sz w:val="24"/>
          <w:szCs w:val="24"/>
        </w:rPr>
        <w:t xml:space="preserve"> - муниципальное предприятие;</w:t>
      </w:r>
    </w:p>
    <w:p>
      <w:pPr>
        <w:spacing w:after="60"/>
        <w:ind w:firstLine="567"/>
        <w:jc w:val="both"/>
      </w:pPr>
      <w:r>
        <w:rPr>
          <w:rFonts w:ascii="Arial" w:cs="Arial" w:eastAsia="Arial" w:hAnsi="Arial"/>
          <w:b/>
          <w:bCs/>
          <w:sz w:val="24"/>
          <w:szCs w:val="24"/>
        </w:rPr>
        <w:t xml:space="preserve">ТЭЦ</w:t>
      </w:r>
      <w:r>
        <w:rPr>
          <w:rFonts w:ascii="Arial" w:cs="Arial" w:eastAsia="Arial" w:hAnsi="Arial"/>
          <w:sz w:val="24"/>
          <w:szCs w:val="24"/>
        </w:rPr>
        <w:t xml:space="preserve"> - тепловая электрическая централь;</w:t>
      </w:r>
    </w:p>
    <w:p>
      <w:pPr>
        <w:spacing w:after="60"/>
        <w:ind w:firstLine="567"/>
        <w:jc w:val="both"/>
      </w:pPr>
      <w:r>
        <w:rPr>
          <w:rFonts w:ascii="Arial" w:cs="Arial" w:eastAsia="Arial" w:hAnsi="Arial"/>
          <w:b/>
          <w:bCs/>
          <w:sz w:val="24"/>
          <w:szCs w:val="24"/>
        </w:rPr>
        <w:t xml:space="preserve">КГК</w:t>
      </w:r>
      <w:r>
        <w:rPr>
          <w:rFonts w:ascii="Arial" w:cs="Arial" w:eastAsia="Arial" w:hAnsi="Arial"/>
          <w:sz w:val="24"/>
          <w:szCs w:val="24"/>
        </w:rPr>
        <w:t xml:space="preserve"> - закрытое акционерное общество "Кумтор Голд Компани".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32"/>
          <w:szCs w:val="32"/>
        </w:rPr>
        <w:t xml:space="preserve">ЗАДАНИЕ
 Государственному комитету промышленности, энергетики и недропользования Кыргызской Республики, ОАО "Национальная энергетическая холдинговая компания", ГП "Кыргызкомур", ОсОО "Газпром Кыргызстана", ОАО "Кыргызнефтегаз", ОАО "Электрические станции" по поставке угля, природного газа и мазута на тепловые электростанции ОАО "Электрические станции" для подготовки к осенне-зимнему сезону 2018/2019 года</w:t>
      </w:r>
    </w:p>
    <w:p>
      <w:pPr>
        <w:spacing w:after="60"/>
        <w:ind w:firstLine="567"/>
        <w:jc w:val="right"/>
      </w:pPr>
      <w:r>
        <w:rPr>
          <w:rFonts w:ascii="Arial" w:cs="Arial" w:eastAsia="Arial" w:hAnsi="Arial"/>
          <w:sz w:val="24"/>
          <w:szCs w:val="24"/>
        </w:rPr>
        <w:t xml:space="preserve">(уголь, мазут - тыс.т,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6"/>
        <w:gridCol w:w="515"/>
        <w:gridCol w:w="739"/>
        <w:gridCol w:w="442"/>
        <w:gridCol w:w="442"/>
        <w:gridCol w:w="442"/>
        <w:gridCol w:w="442"/>
        <w:gridCol w:w="442"/>
        <w:gridCol w:w="442"/>
        <w:gridCol w:w="442"/>
        <w:gridCol w:w="442"/>
        <w:gridCol w:w="442"/>
        <w:gridCol w:w="442"/>
        <w:gridCol w:w="442"/>
        <w:gridCol w:w="442"/>
        <w:gridCol w:w="442"/>
        <w:gridCol w:w="442"/>
        <w:gridCol w:w="442"/>
        <w:gridCol w:w="442"/>
        <w:gridCol w:w="937"/>
      </w:tblGrid>
      <w:tr>
        <w:tc>
          <w:tcPr>
            <w:tcW w:type="dxa" w:w="91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01.04.18 г.</w:t>
            </w:r>
          </w:p>
        </w:tc>
        <w:tc>
          <w:tcPr>
            <w:tcW w:type="dxa" w:w="7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2-4 кв. 2018 г. и в 1 кв. 2019 г.</w:t>
            </w:r>
          </w:p>
        </w:tc>
        <w:tc>
          <w:tcPr>
            <w:tcW w:type="dxa" w:w="7072"/>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w:t>
            </w:r>
          </w:p>
        </w:tc>
        <w:tc>
          <w:tcPr>
            <w:tcW w:type="dxa" w:w="9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04"/>
            <w:gridSpan w:val="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768"/>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w:t>
            </w:r>
            <w:r>
              <w:rPr>
                <w:rFonts w:ascii="Arial" w:cs="Arial" w:eastAsia="Arial" w:hAnsi="Arial"/>
                <w:b/>
                <w:bCs/>
                <w:sz w:val="24"/>
                <w:szCs w:val="24"/>
              </w:rPr>
              <w:t xml:space="preserve">кв.</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r>
              <w:rPr>
                <w:rFonts w:ascii="Arial" w:cs="Arial" w:eastAsia="Arial" w:hAnsi="Arial"/>
                <w:b/>
                <w:bCs/>
                <w:sz w:val="24"/>
                <w:szCs w:val="24"/>
              </w:rPr>
              <w:t xml:space="preserve">.</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r>
      <w:tr>
        <w:tc>
          <w:tcPr>
            <w:tcW w:type="dxa" w:w="9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 ДГ, Г</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 угледобывающие предприятия</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всего</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"КНГ", ОАО "ЭС"</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г.Бишкек</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Д, ДГ, Г</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 угледобывающие предприятия</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7,188</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Ош</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"КНГ". ОАО "ЭС"</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0,991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3,653</w:t>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ГКПЭН КР - Государственный комитет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ОАО "НЭХК" - открытое акционерное общество "Национальная энергетическая холдинговая компания";</w:t>
      </w:r>
    </w:p>
    <w:p>
      <w:pPr>
        <w:spacing w:after="60"/>
        <w:ind w:firstLine="567"/>
        <w:jc w:val="both"/>
      </w:pPr>
      <w:r>
        <w:rPr>
          <w:rFonts w:ascii="Arial" w:cs="Arial" w:eastAsia="Arial" w:hAnsi="Arial"/>
          <w:sz w:val="24"/>
          <w:szCs w:val="24"/>
        </w:rPr>
        <w:t xml:space="preserve">ОАО "ЭС" - открытое акционерное общество "Электрические станции";</w:t>
      </w:r>
    </w:p>
    <w:p>
      <w:pPr>
        <w:spacing w:after="60"/>
        <w:ind w:firstLine="567"/>
        <w:jc w:val="both"/>
      </w:pPr>
      <w:r>
        <w:rPr>
          <w:rFonts w:ascii="Arial" w:cs="Arial" w:eastAsia="Arial" w:hAnsi="Arial"/>
          <w:sz w:val="24"/>
          <w:szCs w:val="24"/>
        </w:rPr>
        <w:t xml:space="preserve">ОсОО "ГК" - общество с ограниченной ответственностью "Газпром Кыргызстан";</w:t>
      </w:r>
    </w:p>
    <w:p>
      <w:pPr>
        <w:spacing w:after="60"/>
        <w:ind w:firstLine="567"/>
        <w:jc w:val="both"/>
      </w:pPr>
      <w:r>
        <w:rPr>
          <w:rFonts w:ascii="Arial" w:cs="Arial" w:eastAsia="Arial" w:hAnsi="Arial"/>
          <w:sz w:val="24"/>
          <w:szCs w:val="24"/>
        </w:rPr>
        <w:t xml:space="preserve">ОАО "КНГ" - открытое акционерное общество "Кыргызнефтегаз";</w:t>
      </w:r>
    </w:p>
    <w:p>
      <w:pPr>
        <w:spacing w:after="60"/>
        <w:ind w:firstLine="567"/>
        <w:jc w:val="both"/>
      </w:pPr>
      <w:r>
        <w:rPr>
          <w:rFonts w:ascii="Arial" w:cs="Arial" w:eastAsia="Arial" w:hAnsi="Arial"/>
          <w:sz w:val="24"/>
          <w:szCs w:val="24"/>
        </w:rPr>
        <w:t xml:space="preserve">ГП "Кыргызкомур" - Государственное предприятие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13</w:t>
      </w:r>
    </w:p>
    <w:p>
      <w:pPr>
        <w:spacing w:after="400" w:before="400"/>
        <w:jc w:val="center"/>
      </w:pPr>
      <w:r>
        <w:rPr>
          <w:rFonts w:ascii="Arial" w:cs="Arial" w:eastAsia="Arial" w:hAnsi="Arial"/>
          <w:b/>
          <w:bCs/>
          <w:sz w:val="32"/>
          <w:szCs w:val="32"/>
        </w:rPr>
        <w:t xml:space="preserve">ЗАДАНИЕ
 ОАО "Кыргызнефтегаз" на поставку природного газа и мазута для подготовки к осенне-зимнему периоду 2018/2019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dtvdovwelty1ckridyxgj">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(мазут - тыс.т,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3"/>
        <w:gridCol w:w="1010"/>
        <w:gridCol w:w="624"/>
        <w:gridCol w:w="624"/>
        <w:gridCol w:w="624"/>
        <w:gridCol w:w="624"/>
        <w:gridCol w:w="624"/>
        <w:gridCol w:w="624"/>
        <w:gridCol w:w="624"/>
        <w:gridCol w:w="659"/>
        <w:gridCol w:w="659"/>
        <w:gridCol w:w="659"/>
        <w:gridCol w:w="659"/>
        <w:gridCol w:w="659"/>
      </w:tblGrid>
      <w:tr>
        <w:tc>
          <w:tcPr>
            <w:tcW w:type="dxa" w:w="15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2018 г. и I кв. 2019 г.</w:t>
            </w:r>
          </w:p>
          <w:p>
            <w:pPr>
              <w:jc w:val="center"/>
            </w:pPr>
            <w:r>
              <w:rPr>
                <w:rFonts w:ascii="Arial" w:cs="Arial" w:eastAsia="Arial" w:hAnsi="Arial"/>
                <w:b/>
                <w:bCs/>
                <w:sz w:val="24"/>
                <w:szCs w:val="24"/>
              </w:rPr>
              <w:t xml:space="preserve">Всего</w:t>
            </w:r>
          </w:p>
        </w:tc>
        <w:tc>
          <w:tcPr>
            <w:tcW w:type="dxa" w:w="4368"/>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329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топливных ресурсов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
 в том числе:</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24,267</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1,673</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2,273</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2,822</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3,047</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2,251</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2,191</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2,637</w:t>
            </w:r>
          </w:p>
        </w:tc>
      </w:tr>
      <w:tr>
        <w:tc>
          <w:tcPr>
            <w:tcW w:type="dxa" w:w="1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всего:
 в том числе:</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ТЭЦ гор. Ош</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ГП "Кыргызтеплоэнерго"</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w:t>
      </w:r>
    </w:p>
    <w:p>
      <w:pPr>
        <w:spacing w:after="400" w:before="400"/>
        <w:jc w:val="center"/>
      </w:pPr>
      <w:r>
        <w:rPr>
          <w:rFonts w:ascii="Arial" w:cs="Arial" w:eastAsia="Arial" w:hAnsi="Arial"/>
          <w:b/>
          <w:bCs/>
          <w:sz w:val="32"/>
          <w:szCs w:val="32"/>
        </w:rPr>
        <w:t xml:space="preserve">ГРАФИК
 накопления воды и выработки электроэнергии электростанциями ОАО "Электрические станции", передачи электроэнергии по электрическим сетям ОАО "НЭСК" и отпуска электроэнергии в распредэлектрокомпании ОАО "Северэлектро", ОАО "Востокэлектро", ОАО "Ошэлектро", ОАО "Жалалабатэлектро"</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_mlfzr3rodjqndldjyckn">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5"/>
        <w:gridCol w:w="1295"/>
        <w:gridCol w:w="1295"/>
        <w:gridCol w:w="795"/>
        <w:gridCol w:w="795"/>
        <w:gridCol w:w="795"/>
        <w:gridCol w:w="795"/>
        <w:gridCol w:w="795"/>
        <w:gridCol w:w="795"/>
        <w:gridCol w:w="810"/>
        <w:gridCol w:w="717"/>
      </w:tblGrid>
      <w:tr>
        <w:tc>
          <w:tcPr>
            <w:tcW w:type="dxa" w:w="3885"/>
            <w:gridSpan w:val="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8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p>
            <w:pPr>
              <w:jc w:val="center"/>
            </w:pPr>
            <w:r>
              <w:rPr>
                <w:rFonts w:ascii="Arial" w:cs="Arial" w:eastAsia="Arial" w:hAnsi="Arial"/>
                <w:b/>
                <w:bCs/>
                <w:sz w:val="24"/>
                <w:szCs w:val="24"/>
              </w:rPr>
              <w:t xml:space="preserve">Всего:</w:t>
            </w:r>
          </w:p>
        </w:tc>
        <w:tc>
          <w:tcPr>
            <w:tcW w:type="dxa" w:w="7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r>
      <w:tr>
        <w:tc>
          <w:tcPr>
            <w:gridSpan w:val="3"/>
            <w:vMerge w:val="continue"/>
            <w:tcBorders>
              <w:top w:val="single" w:color="CBBF9E" w:sz="4"/>
              <w:left w:val="single" w:color="CBBF9E" w:sz="4"/>
              <w:bottom w:val="single" w:color="CBBF9E" w:sz="4"/>
              <w:right w:val="single" w:color="CBBF9E" w:sz="4"/>
            </w:tcBorders>
          </w:tcP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мес.</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 мес.</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w:t>
            </w:r>
            <w:r>
              <w:rPr>
                <w:rFonts w:ascii="Arial" w:cs="Arial" w:eastAsia="Arial" w:hAnsi="Arial"/>
                <w:b/>
                <w:bCs/>
                <w:sz w:val="24"/>
                <w:szCs w:val="24"/>
              </w:rPr>
              <w:t xml:space="preserve">кв.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8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в Токтогульском водохранилище, при среднемноголетней приточности (млрд. куб.м)</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19,27</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19,27</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w:t>
            </w:r>
          </w:p>
        </w:tc>
      </w:tr>
      <w:tr>
        <w:tc>
          <w:tcPr>
            <w:tcW w:type="dxa" w:w="388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воды в верхнем бьефе Токтогульского водохранилища (м)</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891,98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891,98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899,34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899,34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890,58</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890,58</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875,27</w:t>
            </w:r>
          </w:p>
        </w:tc>
      </w:tr>
      <w:tr>
        <w:tc>
          <w:tcPr>
            <w:tcW w:type="dxa" w:w="388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 всего:</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5169,9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2759,2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7929,1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2926,5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10855,6</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4689,0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15544,6</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5307,2</w:t>
            </w:r>
          </w:p>
        </w:tc>
      </w:tr>
      <w:tr>
        <w:tc>
          <w:tcPr>
            <w:tcW w:type="dxa" w:w="388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ГЭС</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4606,2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2646,9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7253,0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10065,2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4159,3</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14224,5</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4705,3</w:t>
            </w:r>
          </w:p>
        </w:tc>
      </w:tr>
      <w:tr>
        <w:tc>
          <w:tcPr>
            <w:tcW w:type="dxa" w:w="388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ТЭЦ</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529,7</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1320,1</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601,9</w:t>
            </w:r>
          </w:p>
        </w:tc>
      </w:tr>
      <w:tr>
        <w:tc>
          <w:tcPr>
            <w:tcW w:type="dxa" w:w="388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электроэнергии в сети ОАО "НЭС Кыргызстана"</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4974,624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2669,195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7643,8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2838,9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10482,7</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4526,7</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15009,4</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5121,4</w:t>
            </w:r>
          </w:p>
        </w:tc>
      </w:tr>
      <w:tr>
        <w:tc>
          <w:tcPr>
            <w:tcW w:type="dxa" w:w="129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 т.ч.</w:t>
            </w:r>
          </w:p>
        </w:tc>
        <w:tc>
          <w:tcPr>
            <w:tcW w:type="dxa" w:w="25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 электроэнергии</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380,46</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784,96</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r>
      <w:tr>
        <w:tc>
          <w:tcPr>
            <w:tcW w:type="dxa" w:w="129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КПП, всего:</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1703,2</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494,8</w:t>
            </w:r>
          </w:p>
        </w:tc>
      </w:tr>
      <w:tr>
        <w:tc>
          <w:tcPr>
            <w:tcW w:type="dxa" w:w="129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РЭК, всего:</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2058,6</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6079,6</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1805,1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7884,7</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3690,4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11575,2</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4255,8</w:t>
            </w:r>
          </w:p>
        </w:tc>
      </w:tr>
      <w:tr>
        <w:tc>
          <w:tcPr>
            <w:tcW w:type="dxa" w:w="388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 электроэнергии от ОАО "Электрические станции" в сети РЭК, всего:</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4089,9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6190,2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8032,7</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3746,2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11778,9</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4320,6</w:t>
            </w:r>
          </w:p>
        </w:tc>
      </w:tr>
      <w:tr>
        <w:tc>
          <w:tcPr>
            <w:tcW w:type="dxa" w:w="2590"/>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 том числе:</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2055,5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3104,8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4003,7</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1865,2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5868,9</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2091,4</w:t>
            </w:r>
          </w:p>
        </w:tc>
      </w:tr>
      <w:tr>
        <w:tc>
          <w:tcPr>
            <w:tcW w:type="dxa" w:w="2590"/>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1708,7</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634,1</w:t>
            </w:r>
          </w:p>
        </w:tc>
      </w:tr>
      <w:tr>
        <w:tc>
          <w:tcPr>
            <w:tcW w:type="dxa" w:w="2590"/>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1350,7</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407,6</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855,1</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2613,5</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963,6</w:t>
            </w:r>
          </w:p>
        </w:tc>
      </w:tr>
      <w:tr>
        <w:tc>
          <w:tcPr>
            <w:tcW w:type="dxa" w:w="2590"/>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835,7</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264,6</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1587,8</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631,5</w:t>
            </w:r>
          </w:p>
        </w:tc>
      </w:tr>
      <w:tr>
        <w:tc>
          <w:tcPr>
            <w:tcW w:type="dxa" w:w="12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24"/>
          <w:szCs w:val="24"/>
        </w:rPr>
        <w:t xml:space="preserve">ЗАДАНИЕ
 ОАО "Электрические станции" по выработке электроэнергии и мощности на ТЭЦ города Бишкек на 2018 год и </w:t>
      </w:r>
      <w:r>
        <w:rPr>
          <w:rFonts w:ascii="Arial" w:cs="Arial" w:eastAsia="Arial" w:hAnsi="Arial"/>
          <w:b/>
          <w:bCs/>
          <w:sz w:val="24"/>
          <w:szCs w:val="24"/>
        </w:rPr>
        <w:t xml:space="preserve">I </w:t>
      </w:r>
      <w:r>
        <w:rPr>
          <w:rFonts w:ascii="Arial" w:cs="Arial" w:eastAsia="Arial" w:hAnsi="Arial"/>
          <w:b/>
          <w:bCs/>
          <w:sz w:val="24"/>
          <w:szCs w:val="24"/>
        </w:rPr>
        <w:t xml:space="preserve">квартал 2019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xqkqrzwqvtdwoyhr4uecj">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6"/>
        <w:gridCol w:w="362"/>
        <w:gridCol w:w="491"/>
        <w:gridCol w:w="491"/>
        <w:gridCol w:w="491"/>
        <w:gridCol w:w="491"/>
        <w:gridCol w:w="491"/>
        <w:gridCol w:w="491"/>
        <w:gridCol w:w="491"/>
        <w:gridCol w:w="491"/>
        <w:gridCol w:w="491"/>
        <w:gridCol w:w="491"/>
        <w:gridCol w:w="491"/>
        <w:gridCol w:w="491"/>
        <w:gridCol w:w="491"/>
        <w:gridCol w:w="491"/>
        <w:gridCol w:w="507"/>
        <w:gridCol w:w="507"/>
        <w:gridCol w:w="507"/>
        <w:gridCol w:w="507"/>
      </w:tblGrid>
      <w:tr>
        <w:tc>
          <w:tcPr>
            <w:tcW w:type="dxa" w:w="9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874"/>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20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w:t>
            </w:r>
            <w:r>
              <w:rPr>
                <w:rFonts w:ascii="Arial" w:cs="Arial" w:eastAsia="Arial" w:hAnsi="Arial"/>
                <w:b/>
                <w:bCs/>
                <w:sz w:val="24"/>
                <w:szCs w:val="24"/>
              </w:rPr>
              <w:t xml:space="preserve">кв.</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 кв.</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563,773</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45,437</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36642</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30,238</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112,317</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48,435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32,400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114,315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111,600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238,080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529,680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1320,086</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238,080</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215,040</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148,800</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601,920</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по выработке электроэнергии и мощности на ТЭЦ города Ош на 2018 год и I </w:t>
      </w:r>
      <w:r>
        <w:rPr>
          <w:rFonts w:ascii="Arial" w:cs="Arial" w:eastAsia="Arial" w:hAnsi="Arial"/>
          <w:b/>
          <w:bCs/>
          <w:sz w:val="32"/>
          <w:szCs w:val="32"/>
        </w:rPr>
        <w:t xml:space="preserve">квартал 2019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9"/>
        <w:gridCol w:w="397"/>
        <w:gridCol w:w="479"/>
        <w:gridCol w:w="479"/>
        <w:gridCol w:w="479"/>
        <w:gridCol w:w="479"/>
        <w:gridCol w:w="479"/>
        <w:gridCol w:w="479"/>
        <w:gridCol w:w="479"/>
        <w:gridCol w:w="479"/>
        <w:gridCol w:w="479"/>
        <w:gridCol w:w="479"/>
        <w:gridCol w:w="479"/>
        <w:gridCol w:w="479"/>
        <w:gridCol w:w="479"/>
        <w:gridCol w:w="479"/>
        <w:gridCol w:w="499"/>
        <w:gridCol w:w="499"/>
        <w:gridCol w:w="499"/>
        <w:gridCol w:w="499"/>
      </w:tblGrid>
      <w:tr>
        <w:tc>
          <w:tcPr>
            <w:tcW w:type="dxa" w:w="10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706"/>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 кв.</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r>
      <w:tr>
        <w:tc>
          <w:tcPr>
            <w:tcW w:type="dxa" w:w="10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кВт.ч</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0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МВт</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16</w:t>
      </w:r>
    </w:p>
    <w:p>
      <w:pPr>
        <w:spacing w:after="400" w:before="400"/>
        <w:jc w:val="center"/>
      </w:pPr>
      <w:r>
        <w:rPr>
          <w:rFonts w:ascii="Arial" w:cs="Arial" w:eastAsia="Arial" w:hAnsi="Arial"/>
          <w:b/>
          <w:bCs/>
          <w:sz w:val="32"/>
          <w:szCs w:val="32"/>
        </w:rPr>
        <w:t xml:space="preserve">ЗАДАНИЕ
 ОАО "Электрические станции", ОАО "НЭС Кыргызстана", распределительным электрокомпаниям и ОАО "Бишкектеплосеть" по подготовке ТЭЦ и ГЭС, электро- и тепловых сетей к эксплуатации в осенне-зимний период 2018/2019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0"/>
        <w:gridCol w:w="2312"/>
        <w:gridCol w:w="873"/>
        <w:gridCol w:w="899"/>
        <w:gridCol w:w="899"/>
        <w:gridCol w:w="899"/>
        <w:gridCol w:w="899"/>
        <w:gridCol w:w="899"/>
        <w:gridCol w:w="1899"/>
      </w:tblGrid>
      <w:tr>
        <w:tc>
          <w:tcPr>
            <w:tcW w:type="dxa" w:w="60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оборудования</w:t>
            </w:r>
          </w:p>
        </w:tc>
        <w:tc>
          <w:tcPr>
            <w:tcW w:type="dxa" w:w="8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449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8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квартал</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w:t>
            </w:r>
            <w:r>
              <w:rPr>
                <w:rFonts w:ascii="Arial" w:cs="Arial" w:eastAsia="Arial" w:hAnsi="Arial"/>
                <w:b/>
                <w:bCs/>
                <w:sz w:val="24"/>
                <w:szCs w:val="24"/>
              </w:rPr>
              <w:t xml:space="preserve">квартал</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V </w:t>
            </w:r>
            <w:r>
              <w:rPr>
                <w:rFonts w:ascii="Arial" w:cs="Arial" w:eastAsia="Arial" w:hAnsi="Arial"/>
                <w:b/>
                <w:bCs/>
                <w:sz w:val="24"/>
                <w:szCs w:val="24"/>
              </w:rPr>
              <w:t xml:space="preserve">квартал</w:t>
            </w:r>
          </w:p>
        </w:tc>
        <w:tc>
          <w:tcPr>
            <w:vMerge w:val="continue"/>
            <w:tcBorders>
              <w:top w:val="single" w:color="CBBF9E" w:sz="4"/>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"Электрические станции"</w:t>
            </w: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шт/т
 пара/ч</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Турбогенераторы</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 Кыргызстана",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"НЭС Кыргызстана"</w:t>
            </w: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110 кВ и выше</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110 кВ и выше</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шт/МВА</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0,4291</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"Северэлектро"</w:t>
            </w: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1961,0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102,049</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8,531</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39,968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40,272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13,278</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"Востокэлектро"</w:t>
            </w: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1051,1</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313,1</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233,3</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58,607</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9,019</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18,397</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11,391</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"Ошэлектро"</w:t>
            </w: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2287,6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194,7</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1097,7</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145,7</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58,650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13,930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15,420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"Жалалабатэлектро"</w:t>
            </w: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360,7</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"Бишкектеплосеть"</w:t>
            </w: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 в т.ч.:</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замена вышедшей из строя запорной арматуры</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ремонт тепловой изоляции</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106,250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16,920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35,580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18,220</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32"/>
          <w:szCs w:val="32"/>
        </w:rPr>
        <w:t xml:space="preserve">ЗАДАНИЕ
 ОАО "Северэлектро", ОАО "Востокэлектро", ОАО "Жалалабатэлектро", ОАО "Ошэлектро" на выполнение работ по строительству и реконструкции ВЛ 0,4-10 кВ, ТП 10/0,4 кВ в 2018 году</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r38g8zsghxduaz6vq1v7">
        <w:r>
          <w:rPr>
            <w:rFonts w:ascii="Arial" w:cs="Arial" w:eastAsia="Arial" w:hAnsi="Arial"/>
            <w:i/>
            <w:iCs/>
            <w:color w:val="1D4ED8"/>
            <w:sz w:val="24"/>
            <w:szCs w:val="24"/>
            <w:u w:val="single"/>
          </w:rPr>
          <w:t xml:space="preserve">8 октября 2018 года № 463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3769"/>
        <w:gridCol w:w="568"/>
        <w:gridCol w:w="697"/>
        <w:gridCol w:w="697"/>
        <w:gridCol w:w="697"/>
        <w:gridCol w:w="697"/>
        <w:gridCol w:w="697"/>
        <w:gridCol w:w="1906"/>
      </w:tblGrid>
      <w:tr>
        <w:tc>
          <w:tcPr>
            <w:tcW w:type="dxa" w:w="4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7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5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48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V</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ОАО "Северэлектро"</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BЛ 0,4 кВ на СИП</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437,32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 35/10-0,4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782,99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258,74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403,23</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179,92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104,57</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 35/10-0,4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443,17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295,05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BЛ 35/10-0,4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157,40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35/10-0,4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248,34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49,33</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32,98</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ОАО "Востокэлектро"</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32286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11979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10-0,3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силового трансформатора на ПС-35 кВ "Саруу"</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173,96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22286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силового трансформатора на ПС-35 кВ "Саруу"</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29,09</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BЛ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BЛ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ОАО "Ошэлектро"</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2587</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BЛ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КЛ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КЛ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ОАО "Жалалабатэлектро"</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ВЛ-35 кВ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111,07</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28,05</w:t>
            </w:r>
          </w:p>
        </w:tc>
        <w:tc>
          <w:tcPr>
            <w:tcW w:type="dxa" w:w="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18</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населению для подготовки к осенне-зимнему периоду 2018/2019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3"/>
        <w:gridCol w:w="1230"/>
        <w:gridCol w:w="837"/>
        <w:gridCol w:w="837"/>
        <w:gridCol w:w="837"/>
        <w:gridCol w:w="837"/>
        <w:gridCol w:w="837"/>
        <w:gridCol w:w="837"/>
        <w:gridCol w:w="837"/>
        <w:gridCol w:w="837"/>
        <w:gridCol w:w="837"/>
      </w:tblGrid>
      <w:tr>
        <w:tc>
          <w:tcPr>
            <w:tcW w:type="dxa" w:w="14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w:t>
            </w:r>
            <w:r>
              <w:rPr>
                <w:rFonts w:ascii="Arial" w:cs="Arial" w:eastAsia="Arial" w:hAnsi="Arial"/>
                <w:sz w:val="24"/>
                <w:szCs w:val="24"/>
              </w:rPr>
              <w:t xml:space="preserve"> </w:t>
            </w:r>
            <w:r>
              <w:rPr>
                <w:rFonts w:ascii="Arial" w:cs="Arial" w:eastAsia="Arial" w:hAnsi="Arial"/>
                <w:b/>
                <w:bCs/>
                <w:sz w:val="24"/>
                <w:szCs w:val="24"/>
              </w:rPr>
              <w:t xml:space="preserve">кв. 2018 г. и в I кв. 2019 г.</w:t>
            </w:r>
          </w:p>
        </w:tc>
        <w:tc>
          <w:tcPr>
            <w:tcW w:type="dxa" w:w="7533"/>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 2018 года</w:t>
            </w:r>
          </w:p>
        </w:tc>
        <w:tc>
          <w:tcPr>
            <w:tcW w:type="dxa" w:w="83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 2018 года</w:t>
            </w:r>
          </w:p>
        </w:tc>
        <w:tc>
          <w:tcPr>
            <w:tcW w:type="dxa" w:w="83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сентябрь</w:t>
            </w:r>
          </w:p>
        </w:tc>
        <w:tc>
          <w:tcPr>
            <w:tcW w:type="dxa" w:w="251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 2018 г.</w:t>
            </w:r>
          </w:p>
        </w:tc>
        <w:tc>
          <w:tcPr>
            <w:tcW w:type="dxa" w:w="251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2019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Природный газ, в т.ч.:</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303,3</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270,5</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населения:</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19</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ГП "Кыргызтеплоэнерго" для подготовки к осенне-зимнему периоду 2018/2019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2"/>
        <w:gridCol w:w="1270"/>
        <w:gridCol w:w="866"/>
        <w:gridCol w:w="866"/>
        <w:gridCol w:w="866"/>
        <w:gridCol w:w="866"/>
        <w:gridCol w:w="866"/>
        <w:gridCol w:w="866"/>
        <w:gridCol w:w="866"/>
        <w:gridCol w:w="866"/>
        <w:gridCol w:w="866"/>
      </w:tblGrid>
      <w:tr>
        <w:tc>
          <w:tcPr>
            <w:tcW w:type="dxa" w:w="11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2018 года и в I кв. 2019 года</w:t>
            </w:r>
          </w:p>
          <w:p>
            <w:pPr>
              <w:jc w:val="center"/>
            </w:pPr>
            <w:r>
              <w:rPr>
                <w:rFonts w:ascii="Arial" w:cs="Arial" w:eastAsia="Arial" w:hAnsi="Arial"/>
                <w:b/>
                <w:bCs/>
                <w:sz w:val="24"/>
                <w:szCs w:val="24"/>
              </w:rPr>
              <w:t xml:space="preserve">ВСЕГО</w:t>
            </w:r>
          </w:p>
        </w:tc>
        <w:tc>
          <w:tcPr>
            <w:tcW w:type="dxa" w:w="779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 2018 года</w:t>
            </w:r>
          </w:p>
        </w:tc>
        <w:tc>
          <w:tcPr>
            <w:tcW w:type="dxa" w:w="86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 2019 года</w:t>
            </w:r>
          </w:p>
        </w:tc>
        <w:tc>
          <w:tcPr>
            <w:tcW w:type="dxa" w:w="86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сентябрь</w:t>
            </w:r>
          </w:p>
        </w:tc>
        <w:tc>
          <w:tcPr>
            <w:tcW w:type="dxa" w:w="259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 2018 года</w:t>
            </w:r>
          </w:p>
        </w:tc>
        <w:tc>
          <w:tcPr>
            <w:tcW w:type="dxa" w:w="259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2019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1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r>
      <w:tr>
        <w:tc>
          <w:tcPr>
            <w:tcW w:type="dxa" w:w="11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20</w:t>
      </w:r>
    </w:p>
    <w:p>
      <w:pPr>
        <w:spacing w:after="400" w:before="400"/>
        <w:jc w:val="center"/>
      </w:pPr>
      <w:r>
        <w:rPr>
          <w:rFonts w:ascii="Arial" w:cs="Arial" w:eastAsia="Arial" w:hAnsi="Arial"/>
          <w:b/>
          <w:bCs/>
          <w:sz w:val="32"/>
          <w:szCs w:val="32"/>
        </w:rPr>
        <w:t xml:space="preserve">ЗАДАНИЕ
 ОсОО "Газпром Кыргызстан" по производственно-техническим мероприятиям для подготовки к осенне-зимнему периоду 2018/2019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3727"/>
        <w:gridCol w:w="916"/>
        <w:gridCol w:w="1445"/>
        <w:gridCol w:w="883"/>
        <w:gridCol w:w="883"/>
        <w:gridCol w:w="883"/>
        <w:gridCol w:w="883"/>
      </w:tblGrid>
      <w:tr>
        <w:tc>
          <w:tcPr>
            <w:tcW w:type="dxa" w:w="5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7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мероприятий, наименование работ</w:t>
            </w:r>
          </w:p>
        </w:tc>
        <w:tc>
          <w:tcPr>
            <w:tcW w:type="dxa" w:w="9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4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работ</w:t>
            </w:r>
          </w:p>
        </w:tc>
        <w:tc>
          <w:tcPr>
            <w:tcW w:type="dxa" w:w="35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Бишкекгаз</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5720</w:t>
            </w:r>
          </w:p>
          <w:p>
            <w:pPr>
              <w:jc w:val="center"/>
            </w:pPr>
            <w:r>
              <w:rPr>
                <w:rFonts w:ascii="Arial" w:cs="Arial" w:eastAsia="Arial" w:hAnsi="Arial"/>
                <w:sz w:val="24"/>
                <w:szCs w:val="24"/>
              </w:rPr>
              <w:t xml:space="preserve">68675,8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w:t>
            </w:r>
          </w:p>
          <w:p>
            <w:pPr>
              <w:jc w:val="center"/>
            </w:pPr>
            <w:r>
              <w:rPr>
                <w:rFonts w:ascii="Arial" w:cs="Arial" w:eastAsia="Arial" w:hAnsi="Arial"/>
                <w:sz w:val="24"/>
                <w:szCs w:val="24"/>
              </w:rPr>
              <w:t xml:space="preserve">13735,2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p>
            <w:pPr>
              <w:jc w:val="center"/>
            </w:pPr>
            <w:r>
              <w:rPr>
                <w:rFonts w:ascii="Arial" w:cs="Arial" w:eastAsia="Arial" w:hAnsi="Arial"/>
                <w:sz w:val="24"/>
                <w:szCs w:val="24"/>
              </w:rPr>
              <w:t xml:space="preserve">27470,3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27470,3</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p>
            <w:pPr>
              <w:jc w:val="center"/>
            </w:pPr>
            <w:r>
              <w:rPr>
                <w:rFonts w:ascii="Arial" w:cs="Arial" w:eastAsia="Arial" w:hAnsi="Arial"/>
                <w:sz w:val="24"/>
                <w:szCs w:val="24"/>
              </w:rPr>
              <w:t xml:space="preserve">1568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p>
            <w:pPr>
              <w:jc w:val="center"/>
            </w:pPr>
            <w:r>
              <w:rPr>
                <w:rFonts w:ascii="Arial" w:cs="Arial" w:eastAsia="Arial" w:hAnsi="Arial"/>
                <w:sz w:val="24"/>
                <w:szCs w:val="24"/>
              </w:rPr>
              <w:t xml:space="preserve">225,4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2775</w:t>
            </w:r>
          </w:p>
          <w:p>
            <w:pPr>
              <w:jc w:val="center"/>
            </w:pPr>
            <w:r>
              <w:rPr>
                <w:rFonts w:ascii="Arial" w:cs="Arial" w:eastAsia="Arial" w:hAnsi="Arial"/>
                <w:sz w:val="24"/>
                <w:szCs w:val="24"/>
              </w:rPr>
              <w:t xml:space="preserve">543,9</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w:t>
            </w:r>
          </w:p>
          <w:p>
            <w:pPr>
              <w:jc w:val="center"/>
            </w:pPr>
            <w:r>
              <w:rPr>
                <w:rFonts w:ascii="Arial" w:cs="Arial" w:eastAsia="Arial" w:hAnsi="Arial"/>
                <w:sz w:val="24"/>
                <w:szCs w:val="24"/>
              </w:rPr>
              <w:t xml:space="preserve">5543,9</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p>
            <w:pPr>
              <w:jc w:val="center"/>
            </w:pPr>
            <w:r>
              <w:rPr>
                <w:rFonts w:ascii="Arial" w:cs="Arial" w:eastAsia="Arial" w:hAnsi="Arial"/>
                <w:sz w:val="24"/>
                <w:szCs w:val="24"/>
              </w:rPr>
              <w:t xml:space="preserve">254,8</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Чуйгаз</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плана-графика</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w:t>
            </w:r>
          </w:p>
          <w:p>
            <w:pPr>
              <w:jc w:val="center"/>
            </w:pPr>
            <w:r>
              <w:rPr>
                <w:rFonts w:ascii="Arial" w:cs="Arial" w:eastAsia="Arial" w:hAnsi="Arial"/>
                <w:sz w:val="24"/>
                <w:szCs w:val="24"/>
              </w:rPr>
              <w:t xml:space="preserve">503,72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w:t>
            </w:r>
          </w:p>
          <w:p>
            <w:pPr>
              <w:jc w:val="center"/>
            </w:pPr>
            <w:r>
              <w:rPr>
                <w:rFonts w:ascii="Arial" w:cs="Arial" w:eastAsia="Arial" w:hAnsi="Arial"/>
                <w:sz w:val="24"/>
                <w:szCs w:val="24"/>
              </w:rPr>
              <w:t xml:space="preserve">123,28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p>
            <w:pPr>
              <w:jc w:val="center"/>
            </w:pPr>
            <w:r>
              <w:rPr>
                <w:rFonts w:ascii="Arial" w:cs="Arial" w:eastAsia="Arial" w:hAnsi="Arial"/>
                <w:sz w:val="24"/>
                <w:szCs w:val="24"/>
              </w:rPr>
              <w:t xml:space="preserve">129,56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w:t>
            </w:r>
          </w:p>
          <w:p>
            <w:pPr>
              <w:jc w:val="center"/>
            </w:pPr>
            <w:r>
              <w:rPr>
                <w:rFonts w:ascii="Arial" w:cs="Arial" w:eastAsia="Arial" w:hAnsi="Arial"/>
                <w:sz w:val="24"/>
                <w:szCs w:val="24"/>
              </w:rPr>
              <w:t xml:space="preserve">127,60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w:t>
            </w:r>
          </w:p>
          <w:p>
            <w:pPr>
              <w:jc w:val="center"/>
            </w:pPr>
            <w:r>
              <w:rPr>
                <w:rFonts w:ascii="Arial" w:cs="Arial" w:eastAsia="Arial" w:hAnsi="Arial"/>
                <w:sz w:val="24"/>
                <w:szCs w:val="24"/>
              </w:rPr>
              <w:t xml:space="preserve">123,28</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Ошгаз</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плана-графика</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p>
            <w:pPr>
              <w:jc w:val="center"/>
            </w:pPr>
            <w:r>
              <w:rPr>
                <w:rFonts w:ascii="Arial" w:cs="Arial" w:eastAsia="Arial" w:hAnsi="Arial"/>
                <w:sz w:val="24"/>
                <w:szCs w:val="24"/>
              </w:rPr>
              <w:t xml:space="preserve">1568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p>
            <w:pPr>
              <w:jc w:val="center"/>
            </w:pPr>
            <w:r>
              <w:rPr>
                <w:rFonts w:ascii="Arial" w:cs="Arial" w:eastAsia="Arial" w:hAnsi="Arial"/>
                <w:sz w:val="24"/>
                <w:szCs w:val="24"/>
              </w:rPr>
              <w:t xml:space="preserve">235,2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2437</w:t>
            </w:r>
          </w:p>
          <w:p>
            <w:pPr>
              <w:jc w:val="center"/>
            </w:pPr>
            <w:r>
              <w:rPr>
                <w:rFonts w:ascii="Arial" w:cs="Arial" w:eastAsia="Arial" w:hAnsi="Arial"/>
                <w:sz w:val="24"/>
                <w:szCs w:val="24"/>
              </w:rPr>
              <w:t xml:space="preserve">477,65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2439</w:t>
            </w:r>
          </w:p>
          <w:p>
            <w:pPr>
              <w:jc w:val="center"/>
            </w:pPr>
            <w:r>
              <w:rPr>
                <w:rFonts w:ascii="Arial" w:cs="Arial" w:eastAsia="Arial" w:hAnsi="Arial"/>
                <w:sz w:val="24"/>
                <w:szCs w:val="24"/>
              </w:rPr>
              <w:t xml:space="preserve">478,04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1924</w:t>
            </w:r>
          </w:p>
          <w:p>
            <w:pPr>
              <w:jc w:val="center"/>
            </w:pPr>
            <w:r>
              <w:rPr>
                <w:rFonts w:ascii="Arial" w:cs="Arial" w:eastAsia="Arial" w:hAnsi="Arial"/>
                <w:sz w:val="24"/>
                <w:szCs w:val="24"/>
              </w:rPr>
              <w:t xml:space="preserve">377,1</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Жалалабатгаз</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p>
            <w:pPr>
              <w:jc w:val="center"/>
            </w:pPr>
            <w:r>
              <w:rPr>
                <w:rFonts w:ascii="Arial" w:cs="Arial" w:eastAsia="Arial" w:hAnsi="Arial"/>
                <w:sz w:val="24"/>
                <w:szCs w:val="24"/>
              </w:rPr>
              <w:t xml:space="preserve">548,8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p>
            <w:pPr>
              <w:jc w:val="center"/>
            </w:pPr>
            <w:r>
              <w:rPr>
                <w:rFonts w:ascii="Arial" w:cs="Arial" w:eastAsia="Arial" w:hAnsi="Arial"/>
                <w:sz w:val="24"/>
                <w:szCs w:val="24"/>
              </w:rPr>
              <w:t xml:space="preserve">137,2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w:t>
            </w:r>
          </w:p>
          <w:p>
            <w:pPr>
              <w:jc w:val="center"/>
            </w:pPr>
            <w:r>
              <w:rPr>
                <w:rFonts w:ascii="Arial" w:cs="Arial" w:eastAsia="Arial" w:hAnsi="Arial"/>
                <w:sz w:val="24"/>
                <w:szCs w:val="24"/>
              </w:rPr>
              <w:t xml:space="preserve">144,26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w:t>
            </w:r>
          </w:p>
          <w:p>
            <w:pPr>
              <w:jc w:val="center"/>
            </w:pPr>
            <w:r>
              <w:rPr>
                <w:rFonts w:ascii="Arial" w:cs="Arial" w:eastAsia="Arial" w:hAnsi="Arial"/>
                <w:sz w:val="24"/>
                <w:szCs w:val="24"/>
              </w:rPr>
              <w:t xml:space="preserve">144,26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w:t>
            </w:r>
          </w:p>
          <w:p>
            <w:pPr>
              <w:jc w:val="center"/>
            </w:pPr>
            <w:r>
              <w:rPr>
                <w:rFonts w:ascii="Arial" w:cs="Arial" w:eastAsia="Arial" w:hAnsi="Arial"/>
                <w:sz w:val="24"/>
                <w:szCs w:val="24"/>
              </w:rPr>
              <w:t xml:space="preserve">123,08</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Баткенгаз</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w:t>
            </w:r>
          </w:p>
          <w:p>
            <w:pPr>
              <w:jc w:val="center"/>
            </w:pPr>
            <w:r>
              <w:rPr>
                <w:rFonts w:ascii="Arial" w:cs="Arial" w:eastAsia="Arial" w:hAnsi="Arial"/>
                <w:sz w:val="24"/>
                <w:szCs w:val="24"/>
              </w:rPr>
              <w:t xml:space="preserve">262,64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p>
            <w:pPr>
              <w:jc w:val="center"/>
            </w:pPr>
            <w:r>
              <w:rPr>
                <w:rFonts w:ascii="Arial" w:cs="Arial" w:eastAsia="Arial" w:hAnsi="Arial"/>
                <w:sz w:val="24"/>
                <w:szCs w:val="24"/>
              </w:rPr>
              <w:t xml:space="preserve">50,96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p>
            <w:pPr>
              <w:jc w:val="center"/>
            </w:pPr>
            <w:r>
              <w:rPr>
                <w:rFonts w:ascii="Arial" w:cs="Arial" w:eastAsia="Arial" w:hAnsi="Arial"/>
                <w:sz w:val="24"/>
                <w:szCs w:val="24"/>
              </w:rPr>
              <w:t xml:space="preserve">70,56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p>
            <w:pPr>
              <w:jc w:val="center"/>
            </w:pPr>
            <w:r>
              <w:rPr>
                <w:rFonts w:ascii="Arial" w:cs="Arial" w:eastAsia="Arial" w:hAnsi="Arial"/>
                <w:sz w:val="24"/>
                <w:szCs w:val="24"/>
              </w:rPr>
              <w:t xml:space="preserve">70,56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p>
            <w:pPr>
              <w:jc w:val="center"/>
            </w:pPr>
            <w:r>
              <w:rPr>
                <w:rFonts w:ascii="Arial" w:cs="Arial" w:eastAsia="Arial" w:hAnsi="Arial"/>
                <w:sz w:val="24"/>
                <w:szCs w:val="24"/>
              </w:rPr>
              <w:t xml:space="preserve">70,56</w:t>
            </w:r>
          </w:p>
        </w:tc>
      </w:tr>
      <w:tr>
        <w:tc>
          <w:tcPr>
            <w:tcW w:type="dxa" w:w="5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Югтрангаз</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Севертрансгаз</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распред. сетям ОсОО "Газпром Кыргызстан" в т.ч.</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100391,96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772,04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15101,12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34287,66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50231,14</w:t>
            </w:r>
          </w:p>
        </w:tc>
      </w:tr>
      <w:tr>
        <w:tc>
          <w:tcPr>
            <w:tcW w:type="dxa" w:w="5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н малонадежных участков газопроводов</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28650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13033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95940,8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13735,2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32923,3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49282,3</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5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r>
      <w:tr>
        <w:tc>
          <w:tcPr>
            <w:tcW w:type="dxa" w:w="5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22710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3939</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6969</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6961</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4451,16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772,04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1365,92</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1364,36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948,84</w:t>
            </w:r>
          </w:p>
        </w:tc>
      </w:tr>
    </w:tbl>
    <w:p>
      <w:pPr>
        <w:spacing w:after="60" w:before="120"/>
        <w:ind w:firstLine="567"/>
        <w:jc w:val="both"/>
      </w:pPr>
      <w:r>
        <w:rPr>
          <w:rFonts w:ascii="Arial" w:cs="Arial" w:eastAsia="Arial" w:hAnsi="Arial"/>
          <w:sz w:val="24"/>
          <w:szCs w:val="24"/>
        </w:rPr>
        <w:t xml:space="preserve">Примечание:</w:t>
      </w:r>
    </w:p>
    <w:p>
      <w:pPr>
        <w:spacing w:after="60" w:before="120"/>
        <w:ind w:firstLine="567"/>
        <w:jc w:val="both"/>
      </w:pPr>
      <w:r>
        <w:rPr>
          <w:rFonts w:ascii="Arial" w:cs="Arial" w:eastAsia="Arial" w:hAnsi="Arial"/>
          <w:sz w:val="24"/>
          <w:szCs w:val="24"/>
        </w:rPr>
        <w:t xml:space="preserve">ГРП - газорегуляторный пункт;</w:t>
      </w:r>
    </w:p>
    <w:p>
      <w:pPr>
        <w:spacing w:after="60"/>
        <w:ind w:firstLine="567"/>
        <w:jc w:val="both"/>
      </w:pPr>
      <w:r>
        <w:rPr>
          <w:rFonts w:ascii="Arial" w:cs="Arial" w:eastAsia="Arial" w:hAnsi="Arial"/>
          <w:sz w:val="24"/>
          <w:szCs w:val="24"/>
        </w:rPr>
        <w:t xml:space="preserve">ШГРП - шкафной газорегуляторный пункт;</w:t>
      </w:r>
    </w:p>
    <w:p>
      <w:pPr>
        <w:spacing w:after="60"/>
        <w:ind w:firstLine="567"/>
        <w:jc w:val="both"/>
      </w:pPr>
      <w:r>
        <w:rPr>
          <w:rFonts w:ascii="Arial" w:cs="Arial" w:eastAsia="Arial" w:hAnsi="Arial"/>
          <w:sz w:val="24"/>
          <w:szCs w:val="24"/>
        </w:rPr>
        <w:t xml:space="preserve">ГРС - газорегуляторная станция;</w:t>
      </w:r>
    </w:p>
    <w:p>
      <w:pPr>
        <w:spacing w:after="60"/>
        <w:ind w:firstLine="567"/>
        <w:jc w:val="both"/>
      </w:pPr>
      <w:r>
        <w:rPr>
          <w:rFonts w:ascii="Arial" w:cs="Arial" w:eastAsia="Arial" w:hAnsi="Arial"/>
          <w:sz w:val="24"/>
          <w:szCs w:val="24"/>
        </w:rPr>
        <w:t xml:space="preserve">АГРС - автоматическая газорегуляторная станция.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21</w:t>
      </w:r>
    </w:p>
    <w:p>
      <w:pPr>
        <w:spacing w:after="400" w:before="400"/>
        <w:jc w:val="center"/>
      </w:pPr>
      <w:r>
        <w:rPr>
          <w:rFonts w:ascii="Arial" w:cs="Arial" w:eastAsia="Arial" w:hAnsi="Arial"/>
          <w:b/>
          <w:bCs/>
          <w:sz w:val="32"/>
          <w:szCs w:val="32"/>
        </w:rPr>
        <w:t xml:space="preserve">ЗАДАНИЕ
 ГП "Кыргызтеплоэнерго", КП "Бишкектеплоэнерго" и Ошскому МП "Теплоснабжение" по подготовке отопительных котельных к осенне-зимнему периоду 2018/2019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1"/>
        <w:gridCol w:w="1079"/>
        <w:gridCol w:w="1092"/>
        <w:gridCol w:w="1092"/>
        <w:gridCol w:w="1092"/>
        <w:gridCol w:w="1092"/>
      </w:tblGrid>
      <w:tr>
        <w:tc>
          <w:tcPr>
            <w:tcW w:type="dxa" w:w="473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10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котельных</w:t>
            </w:r>
          </w:p>
        </w:tc>
        <w:tc>
          <w:tcPr>
            <w:tcW w:type="dxa" w:w="436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газе</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мазуте</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электроэнергии</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 "Бишкектеплоэнерго" Мэрии г.Бишкек</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 "Кыргызтеплоэнерго" в том числе:</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Ошское МП "Теплоснабжение" Мэрии города Ош</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bl>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twi8jfvzdhhj-vqxfhu">
      <w:r>
        <w:rPr>
          <w:rFonts w:ascii="Arial" w:cs="Arial" w:eastAsia="Arial" w:hAnsi="Arial"/>
          <w:color w:val="132D3F"/>
          <w:sz w:val="16"/>
          <w:szCs w:val="16"/>
          <w:u w:val="single"/>
        </w:rPr>
        <w:t xml:space="preserve">dalil.kg/document/11757</w:t>
      </w:r>
    </w:hyperlink>
  </w:p>
  <w:p>
    <w:pPr>
      <w:spacing w:after="0" w:before="40"/>
      <w:jc w:val="center"/>
    </w:pPr>
    <w:hyperlink w:history="1" r:id="rIdbmqk49t_hybdfoyyniza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orke3hdzl4puiriove60" Type="http://schemas.openxmlformats.org/officeDocument/2006/relationships/hyperlink" Target="https://dalil.kg/document/14106" TargetMode="External"/><Relationship Id="rIdu2wllna51okywoxp69rk1" Type="http://schemas.openxmlformats.org/officeDocument/2006/relationships/hyperlink" Target="https://dalil.kg/document/12681" TargetMode="External"/><Relationship Id="rId8xisvgqfbcbt-4qmu7odr" Type="http://schemas.openxmlformats.org/officeDocument/2006/relationships/hyperlink" Target="https://dalil.kg/document/203685" TargetMode="External"/><Relationship Id="rIdpuwn8ryacvnibqpvfoyqw" Type="http://schemas.openxmlformats.org/officeDocument/2006/relationships/hyperlink" Target="https://dalil.kg/document/11757#p1" TargetMode="External"/><Relationship Id="rId98cix_3juuxw82awbzomf" Type="http://schemas.openxmlformats.org/officeDocument/2006/relationships/hyperlink" Target="https://dalil.kg/document/11757#p1" TargetMode="External"/><Relationship Id="rIdqhqrqriwcml448mlu-hoy" Type="http://schemas.openxmlformats.org/officeDocument/2006/relationships/hyperlink" Target="https://dalil.kg/document/11757#p21" TargetMode="External"/><Relationship Id="rIdtaxn45quuiqua7-cb82x3" Type="http://schemas.openxmlformats.org/officeDocument/2006/relationships/hyperlink" Target="https://dalil.kg/document/111125" TargetMode="External"/><Relationship Id="rId4r_ldoiegxc_n66o3poot" Type="http://schemas.openxmlformats.org/officeDocument/2006/relationships/hyperlink" Target="https://dalil.kg/document/111727" TargetMode="External"/><Relationship Id="rIdmtq6pgs9lzy5zfzf4bj_f" Type="http://schemas.openxmlformats.org/officeDocument/2006/relationships/hyperlink" Target="https://dalil.kg/document/12681" TargetMode="External"/><Relationship Id="rIdbpcpcyihtdqf39fxb79zf" Type="http://schemas.openxmlformats.org/officeDocument/2006/relationships/hyperlink" Target="https://dalil.kg/document/11757#p2" TargetMode="External"/><Relationship Id="rIdnqggpegbyr8brygwo5sya" Type="http://schemas.openxmlformats.org/officeDocument/2006/relationships/hyperlink" Target="https://dalil.kg/document/11757#p11" TargetMode="External"/><Relationship Id="rId9nhg8z_yfhafjvbipqind" Type="http://schemas.openxmlformats.org/officeDocument/2006/relationships/hyperlink" Target="https://dalil.kg/document/99994" TargetMode="External"/><Relationship Id="rIdhy-hc8vobjycab_08jse4" Type="http://schemas.openxmlformats.org/officeDocument/2006/relationships/hyperlink" Target="https://dalil.kg/document/100153" TargetMode="External"/><Relationship Id="rIdm2tb9qmohlcr6kak7ojtx" Type="http://schemas.openxmlformats.org/officeDocument/2006/relationships/hyperlink" Target="https://dalil.kg/document/99994" TargetMode="External"/><Relationship Id="rIdncfze0zxp-rx0h6adkgku" Type="http://schemas.openxmlformats.org/officeDocument/2006/relationships/hyperlink" Target="https://dalil.kg/document/11591" TargetMode="External"/><Relationship Id="rIdqgpbg-p4t1lctp10jkpku" Type="http://schemas.openxmlformats.org/officeDocument/2006/relationships/hyperlink" Target="https://dalil.kg/document/12681" TargetMode="External"/><Relationship Id="rIdiab2l847vgayddgxrxnvn" Type="http://schemas.openxmlformats.org/officeDocument/2006/relationships/hyperlink" Target="https://dalil.kg/document/12681" TargetMode="External"/><Relationship Id="rIduwq1zqzkflc-dloogkdph" Type="http://schemas.openxmlformats.org/officeDocument/2006/relationships/hyperlink" Target="https://dalil.kg/document/12681" TargetMode="External"/><Relationship Id="rIdblv4lmnsf58yhwtrunabw" Type="http://schemas.openxmlformats.org/officeDocument/2006/relationships/hyperlink" Target="https://dalil.kg/document/12681" TargetMode="External"/><Relationship Id="rIdkmiyysywlszlygpdc4cj8" Type="http://schemas.openxmlformats.org/officeDocument/2006/relationships/hyperlink" Target="https://dalil.kg/document/12681" TargetMode="External"/><Relationship Id="rId7ccedkk6fmdwv6g_dhrz1" Type="http://schemas.openxmlformats.org/officeDocument/2006/relationships/hyperlink" Target="https://dalil.kg/document/12681" TargetMode="External"/><Relationship Id="rIdvjtmoaisxo30ojvjr4wi2" Type="http://schemas.openxmlformats.org/officeDocument/2006/relationships/hyperlink" Target="https://dalil.kg/document/12681" TargetMode="External"/><Relationship Id="rIdlftow3lhrnmkyaqbofm54" Type="http://schemas.openxmlformats.org/officeDocument/2006/relationships/hyperlink" Target="https://dalil.kg/document/12681" TargetMode="External"/><Relationship Id="rIdb08aaur32z1b9nncownre" Type="http://schemas.openxmlformats.org/officeDocument/2006/relationships/hyperlink" Target="https://dalil.kg/document/12681" TargetMode="External"/><Relationship Id="rIdt0bw2sq8psb0gqpxyhfi8" Type="http://schemas.openxmlformats.org/officeDocument/2006/relationships/hyperlink" Target="https://dalil.kg/document/12681" TargetMode="External"/><Relationship Id="rIddtvdovwelty1ckridyxgj" Type="http://schemas.openxmlformats.org/officeDocument/2006/relationships/hyperlink" Target="https://dalil.kg/document/12681" TargetMode="External"/><Relationship Id="rId_mlfzr3rodjqndldjyckn" Type="http://schemas.openxmlformats.org/officeDocument/2006/relationships/hyperlink" Target="https://dalil.kg/document/12681" TargetMode="External"/><Relationship Id="rIdxqkqrzwqvtdwoyhr4uecj" Type="http://schemas.openxmlformats.org/officeDocument/2006/relationships/hyperlink" Target="https://dalil.kg/document/12681" TargetMode="External"/><Relationship Id="rIdur38g8zsghxduaz6vq1v7" Type="http://schemas.openxmlformats.org/officeDocument/2006/relationships/hyperlink" Target="https://dalil.kg/document/12681"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twi8jfvzdhhj-vqxfhu" Type="http://schemas.openxmlformats.org/officeDocument/2006/relationships/hyperlink" Target="https://dalil.kg/document/11757" TargetMode="External"/><Relationship Id="rIdbmqk49t_hybdfoyyniza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2026-09-25T14:52:07.824Z</dcterms:created>
  <dcterms:modified xsi:type="dcterms:W3CDTF">2026-09-25T14:52:07.824Z</dcterms:modified>
</cp:coreProperties>
</file>

<file path=docProps/custom.xml><?xml version="1.0" encoding="utf-8"?>
<Properties xmlns="http://schemas.openxmlformats.org/officeDocument/2006/custom-properties" xmlns:vt="http://schemas.openxmlformats.org/officeDocument/2006/docPropsVTypes"/>
</file>