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a2cb_f56fklr9asfjk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2017 года № 740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учреждений физической культуры и спорта, привлечения лиц с ограниченными возможностями здоровья к занятиям спортом,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zc1xx4bl4ok2l7de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czd3cfcgqqrgh_yu_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-a43zn3aegvwqhdtca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650rawuag7dxrdnqu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резерва, утвержденном вышеуказанным </w:t>
      </w:r>
      <w:hyperlink w:history="1" r:id="rIdbnzksi24v39adi2wb8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разделов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 аббревиатуру "РСДЮШОР" заменить аббревиатурами "ДЮСАШ, ДЮШПР";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ys1l4qgbbnxgzv4q9x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спортивной школе олимпийского резерва, детско-юношеской спортивно-адаптивной школе и детско-юношеской школе паралимпийского резерва (далее - Положение) распространяется на государственные детско-юношеские спортивные школы (далее - ДЮСШ), специализированные детско-юношеские школы олимпийского резерва (далее - СДЮШОР), детско-юношеские спортивно-адаптивные школы (далее - ДЮСАШ) и детско-юношеские школы паралимпийского резерва (далее - ДЮШПР).";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5, 9, 11, 15, 19, 21, 25, 26, 27, 28, 30, 37, 38, 39 аббревиатуру "РСДЮШОР" заменить аббревиатурами "ДЮСАШ, ДЮШПР";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после слова "Азиатских" дополнить словами ", Паралимпийских, Азиатских пара";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"2"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"Аналогичные требования предъявляются к ДЮСАШ для присвоения статуса паралимпийского резерва.";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7, 8 и 9-1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"9-2. При ДЮСШ, СДЮШОР, ДЮСАШ, ДЮШПР в обязательном порядке создаются Попечительские советы в соответствии с </w:t>
      </w:r>
      <w:hyperlink w:history="1" r:id="rIdtwqdwqdkhclr61nbua9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ДЮСАШ, ДЮШПР, СДЮШОР, ДЮСШ комплектуются из числа учащихся общеобразовательных школ, профессиональных лицеев, студентов профессиональных средних и высших учебных заведений, молодежи и военнослужащих, учеников специальных (коррекционных) образовательных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предложением следующего содержания: "Максимальный возраст обучающихся - 28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"сроком на 4 года." заменить словами "на конкурсной основе. Порядок проведения конкурсного отбора директора и заместителя директора определяется учредителем.";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управленческого опыта не менее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после слова "назначается" дополнить словами "учредителем на конкурсной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группах высшего спортивного мастерства - стабильность результатов выступлений на республиканских и международных соревнованиях, число спортсменов, подготовленных в составы сборных команд Кыргызской Республики, число спортсменов, занявших высокие места на чемпионатах Мира, Азии, Олимпийских, Азиатских, Паралимпийских и Азиатских пара играх.";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после слова "спорта" дополнить словами "при наличии четырех ставок тренеров-преподавателей";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"ДЮСШ, СДЮШОР, ДЮСАШ, ДЮШПР на ежеквартальной основе размещают в средствах массовой информации или на сайте школы отчет об использовании финансовых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приложения к </w:t>
      </w:r>
      <w:hyperlink w:history="1" r:id="rIdt47tgden-1pp8pt9vu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_m0eg-sxc5hesz78z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штатах</w:t>
        </w:r>
      </w:hyperlink>
      <w:r>
        <w:rPr>
          <w:rFonts w:ascii="Arial" w:cs="Arial" w:eastAsia="Arial" w:hAnsi="Arial"/>
          <w:sz w:val="24"/>
          <w:szCs w:val="24"/>
        </w:rPr>
        <w:t xml:space="preserve"> детско-юношеской спортивной школы, специализированной детско-юношеской школы олимпийского резерва, республиканской специализированной детско-юношеской школы олимпийского резерва Кыргызской Республики, утвержденных вышеуказанным </w:t>
      </w:r>
      <w:hyperlink w:history="1" r:id="rIdzpefp7h9eedt_1veim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"республиканской специализированной детско-юношеской школы олимпийского резерва" заменить словами "детско-юношеской спортивно-адаптивной школы, детско-юношеской школы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7"/>
        <w:gridCol w:w="4311"/>
      </w:tblGrid>
      <w:tr>
        <w:tc>
          <w:tcPr>
            <w:tcW w:type="dxa" w:w="5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Методист-специалист по государственным закупкам</w:t>
            </w:r>
          </w:p>
        </w:tc>
        <w:tc>
          <w:tcPr>
            <w:tcW w:type="dxa" w:w="4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наличии 10 ставок тренера-преподавателя предусматривается 1 ставка методиста; при наличии 20 и более ставок тренера-преподавателя - 2 ставки методиста; при наличии 30 и более ставок тренера-преподавателя - 3 ставки методиста.";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слово "учреждение" заменить словом "здание";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11, 12, 13, 16 и 17 </w:t>
      </w:r>
      <w:hyperlink w:history="1" r:id="rIdycnild27p1cwhab_gv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штатов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"РСДЮШОР" заменить аббревиатурами "ДЮСАШ, ДЮШПР,";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Должность электрика, слесаря-сантехника устанавливается для всех ДЮСШ, СДЮШОР, ДЮСАШ, ДЮШПР, где имеются здания, спортивные сооружения.";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Должность ремонтника плоскостных спортивных сооружений устанавливается для всех ДЮСШ, СДЮШОР, ДЮСАШ, ДЮШПР, в которых имеются плоскостные спортивные сооружения.";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Должность вахтера, гардеробщика устанавливается при наличии физкультурно-оздоровительного и спортивного комплексов.";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Должность слесаря, механика, оператора по буксирующей канатной дороге устанавливается при наличии буксирующей канатной дороги.";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использующих для обогрева электрические котлы,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 из расчета одна штатная единица на 10 печей, но не менее 0,5 штатной единицы на школу.".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утвержденных бюджетов государственных органов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абзаца третьего подпункта 2 пункта 1 настоящего постановления, который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k331lobwdbj0nfok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dalil.kg/document/11807</w:t>
      </w:r>
    </w:hyperlink>
  </w:p>
  <w:p>
    <w:pPr>
      <w:spacing w:after="0" w:before="40"/>
      <w:jc w:val="center"/>
    </w:pPr>
    <w:hyperlink w:history="1" r:id="rIdigige-dzdbhfj6k2osx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2cb_f56fklr9asfjkji" Type="http://schemas.openxmlformats.org/officeDocument/2006/relationships/hyperlink" Target="https://dalil.kg/document/230019912" TargetMode="External"/><Relationship Id="rIdpyzc1xx4bl4ok2l7debbt" Type="http://schemas.openxmlformats.org/officeDocument/2006/relationships/hyperlink" Target="https://dalil.kg/document/203685" TargetMode="External"/><Relationship Id="rIdmvczd3cfcgqqrgh_yu_mj" Type="http://schemas.openxmlformats.org/officeDocument/2006/relationships/hyperlink" Target="https://dalil.kg/document/92635" TargetMode="External"/><Relationship Id="rId3-a43zn3aegvwqhdtcato" Type="http://schemas.openxmlformats.org/officeDocument/2006/relationships/hyperlink" Target="https://dalil.kg/document/92636" TargetMode="External"/><Relationship Id="rIdu650rawuag7dxrdnqulpx" Type="http://schemas.openxmlformats.org/officeDocument/2006/relationships/hyperlink" Target="https://dalil.kg/document/92636" TargetMode="External"/><Relationship Id="rIdbnzksi24v39adi2wb8yqa" Type="http://schemas.openxmlformats.org/officeDocument/2006/relationships/hyperlink" Target="https://dalil.kg/document/92635" TargetMode="External"/><Relationship Id="rIdys1l4qgbbnxgzv4q9xqab" Type="http://schemas.openxmlformats.org/officeDocument/2006/relationships/hyperlink" Target="https://dalil.kg/document/92636" TargetMode="External"/><Relationship Id="rIdtwqdwqdkhclr61nbua9yu" Type="http://schemas.openxmlformats.org/officeDocument/2006/relationships/hyperlink" Target="https://dalil.kg/document/205301" TargetMode="External"/><Relationship Id="rIdt47tgden-1pp8pt9vucos" Type="http://schemas.openxmlformats.org/officeDocument/2006/relationships/hyperlink" Target="https://dalil.kg/document/92636" TargetMode="External"/><Relationship Id="rIdt_m0eg-sxc5hesz78zthd" Type="http://schemas.openxmlformats.org/officeDocument/2006/relationships/hyperlink" Target="https://dalil.kg/document/92635" TargetMode="External"/><Relationship Id="rIdzpefp7h9eedt_1veimsou" Type="http://schemas.openxmlformats.org/officeDocument/2006/relationships/hyperlink" Target="https://dalil.kg/document/92635" TargetMode="External"/><Relationship Id="rIdycnild27p1cwhab_gvplh" Type="http://schemas.openxmlformats.org/officeDocument/2006/relationships/hyperlink" Target="https://dalil.kg/document/9263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k331lobwdbj0nfokqbf" Type="http://schemas.openxmlformats.org/officeDocument/2006/relationships/hyperlink" Target="https://dalil.kg/document/11807" TargetMode="External"/><Relationship Id="rIdigige-dzdbhfj6k2osx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2026-09-23T18:10:22.579Z</dcterms:created>
  <dcterms:modified xsi:type="dcterms:W3CDTF">2026-09-23T18:10:22.579Z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