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 мая 2018 года № 221</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Трудовой кодекс Кыргызской Республики, Налоговый кодекс Кыргызской Республики и Закон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tlli38horweegfsv03om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lgglwuokkkc1njj5pskxn">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Трудовой </w:t>
      </w:r>
      <w:hyperlink w:history="1" r:id="rIdtjgyw8jj1kffp3ht7-fx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vs5grdaspiylspy2rim5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xisewdvlem6bfxy3cflb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инициированный депутатами Жогорку Кенеша Кыргызской Республики Исмаиловой А.Ж., Нурбаевым А.М., Бакчиевым Дж.А., Касымалиевой А.К., Акаевым Ж.К., Тулендыбаевым П.Р., Строковой Е.Г., Субанбековым Б.Ж.</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r>
        <w:rPr>
          <w:rFonts w:ascii="Arial" w:cs="Arial" w:eastAsia="Arial" w:hAnsi="Arial"/>
          <w:sz w:val="24"/>
          <w:szCs w:val="24"/>
        </w:rPr>
        <w:t xml:space="preserve">постановлением Правительства Кыргызской Республики
 от 2 мая 2018 года № 221</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Трудовой кодекс Кыргызской Республики, Налоговый кодекс Кыргызской Республики и Закон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trwochgz8enuu1eo6jrg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Трудовой </w:t>
      </w:r>
      <w:hyperlink w:history="1" r:id="rId81cqrosgcp2qfefnxser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yw-yh3tacb5pupzdlogy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yjwznjkrjej-ioy8d4ry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(далее - проект Закона), инициированный депутатами Жогорку Кенеша Кыргызской Республики Исмаиловой А.Ж., Нурбаевым А.М., Бакчиевым Дж.А., Касымалиевой А.К., Акаевым Ж.К., Тулендыбаевым П.Р., Строковой Е.Г., Субанбековым Б.Ж., приходит к следующему заключению.</w:t>
      </w:r>
    </w:p>
    <w:p>
      <w:pPr>
        <w:spacing w:after="60"/>
        <w:ind w:firstLine="567"/>
        <w:jc w:val="both"/>
      </w:pPr>
      <w:r>
        <w:rPr>
          <w:rFonts w:ascii="Arial" w:cs="Arial" w:eastAsia="Arial" w:hAnsi="Arial"/>
          <w:sz w:val="24"/>
          <w:szCs w:val="24"/>
        </w:rPr>
        <w:t xml:space="preserve">1. Абзацем третьим части 1 статьи 1 проекта Закона предлагается </w:t>
      </w:r>
      <w:r>
        <w:rPr>
          <w:rFonts w:ascii="Arial" w:cs="Arial" w:eastAsia="Arial" w:hAnsi="Arial"/>
          <w:sz w:val="24"/>
          <w:szCs w:val="24"/>
        </w:rPr>
        <w:t xml:space="preserve">главу 16</w:t>
      </w:r>
      <w:r>
        <w:rPr>
          <w:rFonts w:ascii="Arial" w:cs="Arial" w:eastAsia="Arial" w:hAnsi="Arial"/>
          <w:sz w:val="24"/>
          <w:szCs w:val="24"/>
        </w:rPr>
        <w:t xml:space="preserve"> </w:t>
      </w:r>
      <w:hyperlink w:history="1" r:id="rIdj4ftnulv44usjt9aq9b8v">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дополнить статьей 194-1, в части определения таких понятий, как "договор профессиональной подготовки", "профессиональная подготовка" и "ученический договор".</w:t>
      </w:r>
    </w:p>
    <w:p>
      <w:pPr>
        <w:spacing w:after="60"/>
        <w:ind w:firstLine="567"/>
        <w:jc w:val="both"/>
      </w:pPr>
      <w:r>
        <w:rPr>
          <w:rFonts w:ascii="Arial" w:cs="Arial" w:eastAsia="Arial" w:hAnsi="Arial"/>
          <w:sz w:val="24"/>
          <w:szCs w:val="24"/>
        </w:rPr>
        <w:t xml:space="preserve">Вместе с тем отмечаем, что в соответствии со </w:t>
      </w:r>
      <w:r>
        <w:rPr>
          <w:rFonts w:ascii="Arial" w:cs="Arial" w:eastAsia="Arial" w:hAnsi="Arial"/>
          <w:sz w:val="24"/>
          <w:szCs w:val="24"/>
        </w:rPr>
        <w:t xml:space="preserve">статьей 196</w:t>
      </w:r>
      <w:r>
        <w:rPr>
          <w:rFonts w:ascii="Arial" w:cs="Arial" w:eastAsia="Arial" w:hAnsi="Arial"/>
          <w:sz w:val="24"/>
          <w:szCs w:val="24"/>
        </w:rPr>
        <w:t xml:space="preserve"> вышеуказанного Кодекса работники имеют право на профессиональную подготовку, в том числе на обучение новым профессиям, специальностям, а также на повышение квалификации. Это право реализуется путем заключения дополнительного договора между работником и работодателем, в том числе договора о профессиональной подготовке и ученического договора.</w:t>
      </w:r>
    </w:p>
    <w:p>
      <w:pPr>
        <w:spacing w:after="60"/>
        <w:ind w:firstLine="567"/>
        <w:jc w:val="both"/>
      </w:pPr>
      <w:r>
        <w:rPr>
          <w:rFonts w:ascii="Arial" w:cs="Arial" w:eastAsia="Arial" w:hAnsi="Arial"/>
          <w:sz w:val="24"/>
          <w:szCs w:val="24"/>
        </w:rPr>
        <w:t xml:space="preserve">В связи с этим, а также учитывая, что в соответствии со </w:t>
      </w:r>
      <w:r>
        <w:rPr>
          <w:rFonts w:ascii="Arial" w:cs="Arial" w:eastAsia="Arial" w:hAnsi="Arial"/>
          <w:sz w:val="24"/>
          <w:szCs w:val="24"/>
        </w:rPr>
        <w:t xml:space="preserve">статьей 196</w:t>
      </w:r>
      <w:r>
        <w:rPr>
          <w:rFonts w:ascii="Arial" w:cs="Arial" w:eastAsia="Arial" w:hAnsi="Arial"/>
          <w:sz w:val="24"/>
          <w:szCs w:val="24"/>
        </w:rPr>
        <w:t xml:space="preserve"> вышеуказанного Кодекса профессиональная подготовка, обучение осуществляются путем заключения дополнительного договора между работником и работодателем, предлагаем пересмотреть либо исключить вышеуказанные понятия из текста проекта Закона.</w:t>
      </w:r>
    </w:p>
    <w:p>
      <w:pPr>
        <w:spacing w:after="60"/>
        <w:ind w:firstLine="567"/>
        <w:jc w:val="both"/>
      </w:pPr>
      <w:r>
        <w:rPr>
          <w:rFonts w:ascii="Arial" w:cs="Arial" w:eastAsia="Arial" w:hAnsi="Arial"/>
          <w:sz w:val="24"/>
          <w:szCs w:val="24"/>
        </w:rPr>
        <w:t xml:space="preserve">2. Абзацем пятым части 1 статьи 1 проекта Закона отмечается, что "ученический договор - это специальный договор, заключенный между работодателем и лицом, ищущим работу, не старше 28 лет и не имеющим необходимой профессиональной подготовки, ученический договор на профессиональное обучение, который является стажировкой".</w:t>
      </w:r>
    </w:p>
    <w:p>
      <w:pPr>
        <w:spacing w:after="60"/>
        <w:ind w:firstLine="567"/>
        <w:jc w:val="both"/>
      </w:pPr>
      <w:r>
        <w:rPr>
          <w:rFonts w:ascii="Arial" w:cs="Arial" w:eastAsia="Arial" w:hAnsi="Arial"/>
          <w:sz w:val="24"/>
          <w:szCs w:val="24"/>
        </w:rPr>
        <w:t xml:space="preserve">При этом следует учесть, что согласно </w:t>
      </w:r>
      <w:r>
        <w:rPr>
          <w:rFonts w:ascii="Arial" w:cs="Arial" w:eastAsia="Arial" w:hAnsi="Arial"/>
          <w:sz w:val="24"/>
          <w:szCs w:val="24"/>
        </w:rPr>
        <w:t xml:space="preserve">статье 16</w:t>
      </w:r>
      <w:r>
        <w:rPr>
          <w:rFonts w:ascii="Arial" w:cs="Arial" w:eastAsia="Arial" w:hAnsi="Arial"/>
          <w:sz w:val="24"/>
          <w:szCs w:val="24"/>
        </w:rPr>
        <w:t xml:space="preserve"> </w:t>
      </w:r>
      <w:hyperlink w:history="1" r:id="rId6zqxd1g-zpkcl1nr_6cx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9</w:t>
      </w:r>
      <w:r>
        <w:rPr>
          <w:rFonts w:ascii="Arial" w:cs="Arial" w:eastAsia="Arial" w:hAnsi="Arial"/>
          <w:sz w:val="24"/>
          <w:szCs w:val="24"/>
        </w:rPr>
        <w:t xml:space="preserve"> </w:t>
      </w:r>
      <w:hyperlink w:history="1" r:id="rIdxr8bpmi20bumnc5kbhees">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каждый имеет равные возможности для реализации своих трудовых прав и свобод независимо от возраста, а также от других обстоятельств, не связанных с деловыми качествами работника и результатами его труда.</w:t>
      </w:r>
    </w:p>
    <w:p>
      <w:pPr>
        <w:spacing w:after="60"/>
        <w:ind w:firstLine="567"/>
        <w:jc w:val="both"/>
      </w:pPr>
      <w:r>
        <w:rPr>
          <w:rFonts w:ascii="Arial" w:cs="Arial" w:eastAsia="Arial" w:hAnsi="Arial"/>
          <w:sz w:val="24"/>
          <w:szCs w:val="24"/>
        </w:rPr>
        <w:t xml:space="preserve">В связи с этим, а также во избежание нарушения трудовых прав граждан по возрастному признаку предлагаем пересмотреть абзац пятый части 1 статьи 1 проекта Закона.</w:t>
      </w:r>
    </w:p>
    <w:p>
      <w:pPr>
        <w:spacing w:after="60"/>
        <w:ind w:firstLine="567"/>
        <w:jc w:val="both"/>
      </w:pPr>
      <w:r>
        <w:rPr>
          <w:rFonts w:ascii="Arial" w:cs="Arial" w:eastAsia="Arial" w:hAnsi="Arial"/>
          <w:sz w:val="24"/>
          <w:szCs w:val="24"/>
        </w:rPr>
        <w:t xml:space="preserve">3. Абзацем четвертым части 2 статьи 1 проекта Закона предусматривается, что договор профессиональной подготовки также заключается между работодателем и работником при полном или частичном покрытии расходов на обучение работника работодателем по инициативе работника, в случаях, предусмотренных частью 4 </w:t>
      </w:r>
      <w:r>
        <w:rPr>
          <w:rFonts w:ascii="Arial" w:cs="Arial" w:eastAsia="Arial" w:hAnsi="Arial"/>
          <w:sz w:val="24"/>
          <w:szCs w:val="24"/>
        </w:rPr>
        <w:t xml:space="preserve">статьи 196</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Вместе с тем отмечаем, что </w:t>
      </w:r>
      <w:r>
        <w:rPr>
          <w:rFonts w:ascii="Arial" w:cs="Arial" w:eastAsia="Arial" w:hAnsi="Arial"/>
          <w:sz w:val="24"/>
          <w:szCs w:val="24"/>
        </w:rPr>
        <w:t xml:space="preserve">статья 196</w:t>
      </w:r>
      <w:r>
        <w:rPr>
          <w:rFonts w:ascii="Arial" w:cs="Arial" w:eastAsia="Arial" w:hAnsi="Arial"/>
          <w:sz w:val="24"/>
          <w:szCs w:val="24"/>
        </w:rPr>
        <w:t xml:space="preserve"> Трудового кодекса Кыргызской Республики состоит всего из 2 частей, в связи с чем указанную норму проекта Закона следует пересмотреть.</w:t>
      </w:r>
    </w:p>
    <w:p>
      <w:pPr>
        <w:spacing w:after="60"/>
        <w:ind w:firstLine="567"/>
        <w:jc w:val="both"/>
      </w:pPr>
      <w:r>
        <w:rPr>
          <w:rFonts w:ascii="Arial" w:cs="Arial" w:eastAsia="Arial" w:hAnsi="Arial"/>
          <w:sz w:val="24"/>
          <w:szCs w:val="24"/>
        </w:rPr>
        <w:t xml:space="preserve">4. Частью 1 статьи 2 проекта Закона предлагается </w:t>
      </w:r>
      <w:r>
        <w:rPr>
          <w:rFonts w:ascii="Arial" w:cs="Arial" w:eastAsia="Arial" w:hAnsi="Arial"/>
          <w:sz w:val="24"/>
          <w:szCs w:val="24"/>
        </w:rPr>
        <w:t xml:space="preserve">статью 167</w:t>
      </w:r>
      <w:r>
        <w:rPr>
          <w:rFonts w:ascii="Arial" w:cs="Arial" w:eastAsia="Arial" w:hAnsi="Arial"/>
          <w:sz w:val="24"/>
          <w:szCs w:val="24"/>
        </w:rPr>
        <w:t xml:space="preserve"> </w:t>
      </w:r>
      <w:hyperlink w:history="1" r:id="rIdoumk0fcdnxgup5okjmjey">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дополнить пунктом 4, в соответствии с которым вознаграждения, выплачиваемые работодателем сотрудникам или молодым специалистам, проходящим стажировку на основании ученического договора в течение двенадцати месяцев, в размере, не превышающим 100 расчетных показателей, не облагаются подоходным налогом.</w:t>
      </w:r>
    </w:p>
    <w:p>
      <w:pPr>
        <w:spacing w:after="60"/>
        <w:ind w:firstLine="567"/>
        <w:jc w:val="both"/>
      </w:pPr>
      <w:r>
        <w:rPr>
          <w:rFonts w:ascii="Arial" w:cs="Arial" w:eastAsia="Arial" w:hAnsi="Arial"/>
          <w:sz w:val="24"/>
          <w:szCs w:val="24"/>
        </w:rPr>
        <w:t xml:space="preserve">Следует отметить, что налоговое законодательство Кыргызской Республики, согласно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sferzw4l8zxqfgt7jf1jx">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основывается на принципах обязательности налогообложения, единства налоговой системы, гласности налогового законодательства, справедливости налогообложения, определенности налогообложения.</w:t>
      </w:r>
    </w:p>
    <w:p>
      <w:pPr>
        <w:spacing w:after="60"/>
        <w:ind w:firstLine="567"/>
        <w:jc w:val="both"/>
      </w:pPr>
      <w:r>
        <w:rPr>
          <w:rFonts w:ascii="Arial" w:cs="Arial" w:eastAsia="Arial" w:hAnsi="Arial"/>
          <w:sz w:val="24"/>
          <w:szCs w:val="24"/>
        </w:rPr>
        <w:t xml:space="preserve">В связи с этим полагаем, что предлагаемая статьей 2 проекта Закона норма противоречит таким основным принципам налогового законодательства Кыргызской Республики, как принципу справедливости и обязательности налогообложения.</w:t>
      </w:r>
    </w:p>
    <w:p>
      <w:pPr>
        <w:spacing w:after="60"/>
        <w:ind w:firstLine="567"/>
        <w:jc w:val="both"/>
      </w:pPr>
      <w:r>
        <w:rPr>
          <w:rFonts w:ascii="Arial" w:cs="Arial" w:eastAsia="Arial" w:hAnsi="Arial"/>
          <w:sz w:val="24"/>
          <w:szCs w:val="24"/>
        </w:rPr>
        <w:t xml:space="preserve">В случае введения предлагаемой законопроектом нормы возникнет риск уклонения от налогообложения, чем могут воспользоваться недобросовестные налогоплательщики, путем:</w:t>
      </w:r>
    </w:p>
    <w:p>
      <w:pPr>
        <w:spacing w:after="60"/>
        <w:ind w:firstLine="567"/>
        <w:jc w:val="both"/>
      </w:pPr>
      <w:r>
        <w:rPr>
          <w:rFonts w:ascii="Arial" w:cs="Arial" w:eastAsia="Arial" w:hAnsi="Arial"/>
          <w:sz w:val="24"/>
          <w:szCs w:val="24"/>
        </w:rPr>
        <w:t xml:space="preserve">- оформления принятых на работу основных сотрудников в качестве стажеров;</w:t>
      </w:r>
    </w:p>
    <w:p>
      <w:pPr>
        <w:spacing w:after="60"/>
        <w:ind w:firstLine="567"/>
        <w:jc w:val="both"/>
      </w:pPr>
      <w:r>
        <w:rPr>
          <w:rFonts w:ascii="Arial" w:cs="Arial" w:eastAsia="Arial" w:hAnsi="Arial"/>
          <w:sz w:val="24"/>
          <w:szCs w:val="24"/>
        </w:rPr>
        <w:t xml:space="preserve">- фиктивной выплаты или искусственного увеличения заработной платы, выплачиваемых стажерам, тем самым используя эти выплаты в других целях и увеличивая свои расходы, подлежащие вычету по налогу на прибыль.</w:t>
      </w:r>
    </w:p>
    <w:p>
      <w:pPr>
        <w:spacing w:after="60"/>
        <w:ind w:firstLine="567"/>
        <w:jc w:val="both"/>
      </w:pPr>
      <w:r>
        <w:rPr>
          <w:rFonts w:ascii="Arial" w:cs="Arial" w:eastAsia="Arial" w:hAnsi="Arial"/>
          <w:sz w:val="24"/>
          <w:szCs w:val="24"/>
        </w:rPr>
        <w:t xml:space="preserve">В целом необходимо отметить, что предлагаемые статьей 2 проекта Закона нормы, с учетом указанных рисков, повлекут за собой потери бюджета по подоходному налогу и налогу на прибыль, что недопустимо в условиях дефицита государственного бюджета. Следовательно, уменьшение доходной части государственного бюджета, в условиях крайней ограниченности бюджетных средств, может привести к отрицательным экономическим и социальным последствиям.</w:t>
      </w:r>
    </w:p>
    <w:p>
      <w:pPr>
        <w:spacing w:after="60"/>
        <w:ind w:firstLine="567"/>
        <w:jc w:val="both"/>
      </w:pPr>
      <w:r>
        <w:rPr>
          <w:rFonts w:ascii="Arial" w:cs="Arial" w:eastAsia="Arial" w:hAnsi="Arial"/>
          <w:sz w:val="24"/>
          <w:szCs w:val="24"/>
        </w:rPr>
        <w:t xml:space="preserve">5. Статьей 3 проекта Закона предлагается дополнить </w:t>
      </w:r>
      <w:r>
        <w:rPr>
          <w:rFonts w:ascii="Arial" w:cs="Arial" w:eastAsia="Arial" w:hAnsi="Arial"/>
          <w:sz w:val="24"/>
          <w:szCs w:val="24"/>
        </w:rPr>
        <w:t xml:space="preserve">статью 12</w:t>
      </w:r>
      <w:r>
        <w:rPr>
          <w:rFonts w:ascii="Arial" w:cs="Arial" w:eastAsia="Arial" w:hAnsi="Arial"/>
          <w:sz w:val="24"/>
          <w:szCs w:val="24"/>
        </w:rPr>
        <w:t xml:space="preserve"> </w:t>
      </w:r>
      <w:hyperlink w:history="1" r:id="rId_smrbimzgvtqa6kfnz26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пунктом 14, согласно которому вознаграждения, выплачиваются работодателем сотрудникам или молодым специалистам, проходящим стажировку на основании ученического договора в течение двенадцати месяцев, в размере, не превышающим 100 расчетных показателей.</w:t>
      </w:r>
    </w:p>
    <w:p>
      <w:pPr>
        <w:spacing w:after="60"/>
        <w:ind w:firstLine="567"/>
        <w:jc w:val="both"/>
      </w:pPr>
      <w:r>
        <w:rPr>
          <w:rFonts w:ascii="Arial" w:cs="Arial" w:eastAsia="Arial" w:hAnsi="Arial"/>
          <w:sz w:val="24"/>
          <w:szCs w:val="24"/>
        </w:rPr>
        <w:t xml:space="preserve">При этом, в соответствии со </w:t>
      </w:r>
      <w:r>
        <w:rPr>
          <w:rFonts w:ascii="Arial" w:cs="Arial" w:eastAsia="Arial" w:hAnsi="Arial"/>
          <w:sz w:val="24"/>
          <w:szCs w:val="24"/>
        </w:rPr>
        <w:t xml:space="preserve">статьей 23</w:t>
      </w:r>
      <w:r>
        <w:rPr>
          <w:rFonts w:ascii="Arial" w:cs="Arial" w:eastAsia="Arial" w:hAnsi="Arial"/>
          <w:sz w:val="24"/>
          <w:szCs w:val="24"/>
        </w:rPr>
        <w:t xml:space="preserve"> </w:t>
      </w:r>
      <w:hyperlink w:history="1" r:id="rIdya0uewrca659czdxli9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страховые взносы начисляются на все виды оплаты труда (дохода), выплаты стимулирующего и компенсирующего характера (в том числе единовременные вознаграждения), а также за работу по договорам подряда, возмездного оказания услуг, поручения и авторские гонорары, выплаченные за выполненные работы.</w:t>
      </w:r>
    </w:p>
    <w:p>
      <w:pPr>
        <w:spacing w:after="60"/>
        <w:ind w:firstLine="567"/>
        <w:jc w:val="both"/>
      </w:pPr>
      <w:r>
        <w:rPr>
          <w:rFonts w:ascii="Arial" w:cs="Arial" w:eastAsia="Arial" w:hAnsi="Arial"/>
          <w:sz w:val="24"/>
          <w:szCs w:val="24"/>
        </w:rPr>
        <w:t xml:space="preserve">Одновременно следует отметить, что согласно </w:t>
      </w:r>
      <w:r>
        <w:rPr>
          <w:rFonts w:ascii="Arial" w:cs="Arial" w:eastAsia="Arial" w:hAnsi="Arial"/>
          <w:sz w:val="24"/>
          <w:szCs w:val="24"/>
        </w:rPr>
        <w:t xml:space="preserve">статье 1</w:t>
      </w:r>
      <w:r>
        <w:rPr>
          <w:rFonts w:ascii="Arial" w:cs="Arial" w:eastAsia="Arial" w:hAnsi="Arial"/>
          <w:sz w:val="24"/>
          <w:szCs w:val="24"/>
        </w:rPr>
        <w:t xml:space="preserve"> Закона Кыргызской Республики "О государственном пенсионном социальном страховании" право на пенсии по государственному пенсионному социальному страхованию имеют застрахованные граждане Кыргызской Республики, иностранные граждане и лица без гражданства, проживающие в республике, вносящие взносы на государственное пенсионное социальное страхование на основании и условиях, предусмотренных </w:t>
      </w:r>
      <w:hyperlink w:history="1" r:id="rIdt0xzmuub7u6ov7l-akxj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В этой связи необходимо отметить, что в случае принятия данного законопроекта граждане, проходящие стажировку, могут быть лишены страхового стажа, накоплений на личных страховых счетах, что отразится на размере их будущей пенсии.</w:t>
      </w:r>
    </w:p>
    <w:p>
      <w:pPr>
        <w:spacing w:after="60"/>
        <w:ind w:firstLine="567"/>
        <w:jc w:val="both"/>
      </w:pPr>
      <w:r>
        <w:rPr>
          <w:rFonts w:ascii="Arial" w:cs="Arial" w:eastAsia="Arial" w:hAnsi="Arial"/>
          <w:sz w:val="24"/>
          <w:szCs w:val="24"/>
        </w:rPr>
        <w:t xml:space="preserve">6. В части 2 статьи 4 проекта Закона Правительству Кыргызской Республики предлагается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Вместе с тем, в случае принятия данного проекта Закона, Правительству Кыргызской Республики потребуется определенное время для приведения своих решений в соответствие с нормами принятого Закона.</w:t>
      </w:r>
    </w:p>
    <w:p>
      <w:pPr>
        <w:spacing w:after="60"/>
        <w:ind w:firstLine="567"/>
        <w:jc w:val="both"/>
      </w:pPr>
      <w:r>
        <w:rPr>
          <w:rFonts w:ascii="Arial" w:cs="Arial" w:eastAsia="Arial" w:hAnsi="Arial"/>
          <w:sz w:val="24"/>
          <w:szCs w:val="24"/>
        </w:rPr>
        <w:t xml:space="preserve">В связи с этим предлагаем в проекте Закона предусмотреть соответствующие положения.</w:t>
      </w:r>
    </w:p>
    <w:p>
      <w:pPr>
        <w:spacing w:after="60"/>
        <w:ind w:firstLine="567"/>
        <w:jc w:val="both"/>
      </w:pPr>
      <w:r>
        <w:rPr>
          <w:rFonts w:ascii="Arial" w:cs="Arial" w:eastAsia="Arial" w:hAnsi="Arial"/>
          <w:sz w:val="24"/>
          <w:szCs w:val="24"/>
        </w:rPr>
        <w:t xml:space="preserve">7. Также считаем, что предлагаемый проект Закона не отвечает целям следующих программных документов:</w:t>
      </w:r>
    </w:p>
    <w:p>
      <w:pPr>
        <w:spacing w:after="60"/>
        <w:ind w:firstLine="567"/>
        <w:jc w:val="both"/>
      </w:pPr>
      <w:r>
        <w:rPr>
          <w:rFonts w:ascii="Arial" w:cs="Arial" w:eastAsia="Arial" w:hAnsi="Arial"/>
          <w:sz w:val="24"/>
          <w:szCs w:val="24"/>
        </w:rPr>
        <w:t xml:space="preserve">- </w:t>
      </w:r>
      <w:hyperlink w:history="1" r:id="rId3u_km4l44xo3otmbkyhg7">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2015-2020 годы, утвержденной </w:t>
      </w:r>
      <w:hyperlink w:history="1" r:id="rIdadefjymyncflzm9ghcr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455, которой предусматривается максимальное сокращение налоговых преференций и создание системы мониторинга их эффективности путем установления обязанности для льготных категорий налогоплательщиков представлять на постоянной основе налоговую отчетность;</w:t>
      </w:r>
    </w:p>
    <w:p>
      <w:pPr>
        <w:spacing w:after="60"/>
        <w:ind w:firstLine="567"/>
        <w:jc w:val="both"/>
      </w:pPr>
      <w:r>
        <w:rPr>
          <w:rFonts w:ascii="Arial" w:cs="Arial" w:eastAsia="Arial" w:hAnsi="Arial"/>
          <w:sz w:val="24"/>
          <w:szCs w:val="24"/>
        </w:rPr>
        <w:t xml:space="preserve">- Меморандуму по экономической и финансовой политике на 2015-2018 годы, подписанному 24 марта 2015 года между Правительством Кыргызской Республики и Международным валютным фондом, в соответствии с которым Правительство Кыргызской Республики обязалось воздержаться от возобновления налоговых освобождений, которые прекратили свое действие, а также от введения новых налоговых освобождений и льготных режимов налогообложения для отдельных секторов и видов деятельности.</w:t>
      </w:r>
    </w:p>
    <w:p>
      <w:pPr>
        <w:spacing w:after="60"/>
        <w:ind w:firstLine="567"/>
        <w:jc w:val="both"/>
      </w:pPr>
      <w:r>
        <w:rPr>
          <w:rFonts w:ascii="Arial" w:cs="Arial" w:eastAsia="Arial" w:hAnsi="Arial"/>
          <w:sz w:val="24"/>
          <w:szCs w:val="24"/>
        </w:rPr>
        <w:t xml:space="preserve">8. Также отмечаем, что 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eymi5punf6nt3-vjuqm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60"/>
        <w:ind w:firstLine="567"/>
        <w:jc w:val="both"/>
      </w:pPr>
      <w:r>
        <w:rPr>
          <w:rFonts w:ascii="Arial" w:cs="Arial" w:eastAsia="Arial" w:hAnsi="Arial"/>
          <w:sz w:val="24"/>
          <w:szCs w:val="24"/>
        </w:rPr>
        <w:t xml:space="preserve">Однако положения представленного проекта Закона не соответствуют требованиям вышеуказанного </w:t>
      </w:r>
      <w:hyperlink w:history="1" r:id="rIdjup7ge2rtmmkf2yit8ko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w:t>
      </w:r>
      <w:hyperlink w:history="1" r:id="rIdda9vv6gn1yjs6mcdumbh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o28o183zeeqspmvinc15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вышеуказанного проекта Закона в представленной редакции нецелесообразным и отмечает необходимость его доработки с учетом вышеуказанных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ukudhthtrh6lapns7bp">
      <w:r>
        <w:rPr>
          <w:rFonts w:ascii="Arial" w:cs="Arial" w:eastAsia="Arial" w:hAnsi="Arial"/>
          <w:color w:val="132D3F"/>
          <w:sz w:val="16"/>
          <w:szCs w:val="16"/>
          <w:u w:val="single"/>
        </w:rPr>
        <w:t xml:space="preserve">dalil.kg/document/11850</w:t>
      </w:r>
    </w:hyperlink>
  </w:p>
  <w:p>
    <w:pPr>
      <w:spacing w:after="0" w:before="40"/>
      <w:jc w:val="center"/>
    </w:pPr>
    <w:hyperlink w:history="1" r:id="rId0yg37tynfvjqthx0ncyo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li38horweegfsv03omd" Type="http://schemas.openxmlformats.org/officeDocument/2006/relationships/hyperlink" Target="https://dalil.kg/document/203685" TargetMode="External"/><Relationship Id="rIdlgglwuokkkc1njj5pskxn" Type="http://schemas.openxmlformats.org/officeDocument/2006/relationships/hyperlink" Target="https://dalil.kg/document/11850#p1" TargetMode="External"/><Relationship Id="rIdtjgyw8jj1kffp3ht7-fxf" Type="http://schemas.openxmlformats.org/officeDocument/2006/relationships/hyperlink" Target="https://dalil.kg/document/1505" TargetMode="External"/><Relationship Id="rIdvs5grdaspiylspy2rim5c" Type="http://schemas.openxmlformats.org/officeDocument/2006/relationships/hyperlink" Target="https://dalil.kg/document/202445" TargetMode="External"/><Relationship Id="rIdxisewdvlem6bfxy3cflbz" Type="http://schemas.openxmlformats.org/officeDocument/2006/relationships/hyperlink" Target="https://dalil.kg/document/1393" TargetMode="External"/><Relationship Id="rIdtrwochgz8enuu1eo6jrgw" Type="http://schemas.openxmlformats.org/officeDocument/2006/relationships/hyperlink" Target="https://dalil.kg/document/203685" TargetMode="External"/><Relationship Id="rId81cqrosgcp2qfefnxserb" Type="http://schemas.openxmlformats.org/officeDocument/2006/relationships/hyperlink" Target="https://dalil.kg/document/1505" TargetMode="External"/><Relationship Id="rIdyw-yh3tacb5pupzdlogyr" Type="http://schemas.openxmlformats.org/officeDocument/2006/relationships/hyperlink" Target="https://dalil.kg/document/202445" TargetMode="External"/><Relationship Id="rIdyjwznjkrjej-ioy8d4ryj" Type="http://schemas.openxmlformats.org/officeDocument/2006/relationships/hyperlink" Target="https://dalil.kg/document/1393" TargetMode="External"/><Relationship Id="rIdj4ftnulv44usjt9aq9b8v" Type="http://schemas.openxmlformats.org/officeDocument/2006/relationships/hyperlink" Target="https://dalil.kg/document/1505" TargetMode="External"/><Relationship Id="rId6zqxd1g-zpkcl1nr_6cxn" Type="http://schemas.openxmlformats.org/officeDocument/2006/relationships/hyperlink" Target="https://dalil.kg/document/202913" TargetMode="External"/><Relationship Id="rIdxr8bpmi20bumnc5kbhees" Type="http://schemas.openxmlformats.org/officeDocument/2006/relationships/hyperlink" Target="https://dalil.kg/document/1505" TargetMode="External"/><Relationship Id="rIdoumk0fcdnxgup5okjmjey" Type="http://schemas.openxmlformats.org/officeDocument/2006/relationships/hyperlink" Target="https://dalil.kg/document/202445" TargetMode="External"/><Relationship Id="rIdsferzw4l8zxqfgt7jf1jx" Type="http://schemas.openxmlformats.org/officeDocument/2006/relationships/hyperlink" Target="https://dalil.kg/document/202445" TargetMode="External"/><Relationship Id="rId_smrbimzgvtqa6kfnz26t" Type="http://schemas.openxmlformats.org/officeDocument/2006/relationships/hyperlink" Target="https://dalil.kg/document/1393" TargetMode="External"/><Relationship Id="rIdya0uewrca659czdxli9q-" Type="http://schemas.openxmlformats.org/officeDocument/2006/relationships/hyperlink" Target="https://dalil.kg/document/627" TargetMode="External"/><Relationship Id="rIdt0xzmuub7u6ov7l-akxjn" Type="http://schemas.openxmlformats.org/officeDocument/2006/relationships/hyperlink" Target="https://dalil.kg/document/557" TargetMode="External"/><Relationship Id="rId3u_km4l44xo3otmbkyhg7" Type="http://schemas.openxmlformats.org/officeDocument/2006/relationships/hyperlink" Target="https://dalil.kg/document/97820#p1" TargetMode="External"/><Relationship Id="rIdadefjymyncflzm9ghcrox" Type="http://schemas.openxmlformats.org/officeDocument/2006/relationships/hyperlink" Target="https://dalil.kg/document/97820" TargetMode="External"/><Relationship Id="rIdeymi5punf6nt3-vjuqmry" Type="http://schemas.openxmlformats.org/officeDocument/2006/relationships/hyperlink" Target="https://dalil.kg/document/202591" TargetMode="External"/><Relationship Id="rIdjup7ge2rtmmkf2yit8ko8" Type="http://schemas.openxmlformats.org/officeDocument/2006/relationships/hyperlink" Target="https://dalil.kg/document/202591" TargetMode="External"/><Relationship Id="rIdda9vv6gn1yjs6mcdumbh3" Type="http://schemas.openxmlformats.org/officeDocument/2006/relationships/hyperlink" Target="https://dalil.kg/document/76491" TargetMode="External"/><Relationship Id="rIdo28o183zeeqspmvinc15q"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ukudhthtrh6lapns7bp" Type="http://schemas.openxmlformats.org/officeDocument/2006/relationships/hyperlink" Target="https://dalil.kg/document/11850" TargetMode="External"/><Relationship Id="rId0yg37tynfvjqthx0ncyo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2026-10-02T19:02:23.712Z</dcterms:created>
  <dcterms:modified xsi:type="dcterms:W3CDTF">2026-10-02T19:02:23.712Z</dcterms:modified>
</cp:coreProperties>
</file>

<file path=docProps/custom.xml><?xml version="1.0" encoding="utf-8"?>
<Properties xmlns="http://schemas.openxmlformats.org/officeDocument/2006/custom-properties" xmlns:vt="http://schemas.openxmlformats.org/officeDocument/2006/docPropsVTypes"/>
</file>