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марта 2018 года № 140</w:t>
      </w:r>
    </w:p>
    <w:p>
      <w:pPr>
        <w:spacing w:after="120"/>
        <w:jc w:val="both"/>
      </w:pPr>
      <w:r>
        <w:rPr>
          <w:rFonts w:ascii="Arial" w:cs="Arial" w:eastAsia="Arial" w:hAnsi="Arial"/>
          <w:sz w:val="28"/>
          <w:szCs w:val="28"/>
        </w:rPr>
        <w:t xml:space="preserve">О заключении Правительства Кыргызской Республики на проект Закона Кыргызской Республики "О внесении изменений в законодательные акты Кыргызской Республики по вопросам регулирования ввоза ртутьсодержащих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bpjuyctwlajeefurts8u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dy3otsvueqflxrdp0dvw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законодательные акты Кыргызской Республики по вопросам регулирования ввоза ртутьсодержащих товаров", инициированный депутатами Жогорку Кенеша Кыргызской Республики Бакировым М.И., Нурматовым К.С., Токтошевым Э.Т., Жунус уулу А., Жамалдиновым З.И., Мадеминовым М.Г., Райымкуловым Б.К.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zf_d1x7ep2d2f7nv3pnm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2018 года № 140</w:t>
      </w:r>
    </w:p>
    <w:p>
      <w:pPr>
        <w:spacing w:after="400" w:before="400"/>
        <w:jc w:val="center"/>
      </w:pPr>
      <w:r>
        <w:rPr>
          <w:rFonts w:ascii="Arial" w:cs="Arial" w:eastAsia="Arial" w:hAnsi="Arial"/>
          <w:b/>
          <w:bCs/>
          <w:sz w:val="24"/>
          <w:szCs w:val="24"/>
        </w:rPr>
        <w:t xml:space="preserve">ЗАКЛЮЧЕНИЕ</w:t>
      </w:r>
      <w:r>
        <w:rPr>
          <w:rFonts w:ascii="Arial" w:cs="Arial" w:eastAsia="Arial" w:hAnsi="Arial"/>
          <w:sz w:val="24"/>
          <w:szCs w:val="24"/>
        </w:rPr>
        <w:t xml:space="preserve"> </w:t>
      </w:r>
      <w:r>
        <w:rPr>
          <w:rFonts w:ascii="Arial" w:cs="Arial" w:eastAsia="Arial" w:hAnsi="Arial"/>
          <w:b/>
          <w:bCs/>
          <w:sz w:val="24"/>
          <w:szCs w:val="24"/>
        </w:rPr>
        <w:t xml:space="preserve">Правительства Кыргызской Республики на проект Закона Кыргызской Республики "О внесении изменений в законодательные акты Кыргызской Республики по вопросам регулирования ввоза ртутьсодержащих товаров"</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xu1iyn8udhbo_qumi3tx8">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законодательные акты Кыргызской Республики по вопросам регулирования ввоза ртутьсодержащих товаров", инициированный депутатами Жогорку Кенеша Кыргызской Республики Бакировым М.И., Нурматовым К.С., Токтошевым Э.Т., Жунус уулу А., Жамалдиновым З.И., Мадеминовым М.Г., Райымкуловым Б.К., приходит к следующему заключению.</w:t>
      </w:r>
    </w:p>
    <w:p>
      <w:pPr>
        <w:spacing w:after="60"/>
        <w:ind w:firstLine="567"/>
        <w:jc w:val="both"/>
      </w:pPr>
      <w:r>
        <w:rPr>
          <w:rFonts w:ascii="Arial" w:cs="Arial" w:eastAsia="Arial" w:hAnsi="Arial"/>
          <w:sz w:val="24"/>
          <w:szCs w:val="24"/>
        </w:rPr>
        <w:t xml:space="preserve">Данным проектом Закона предлагается введение экономических механизмов, направленных на обеспечение надлежащего управления при импорте ртутьсодержащих товаров и отходов.</w:t>
      </w:r>
    </w:p>
    <w:p>
      <w:pPr>
        <w:spacing w:after="60"/>
        <w:ind w:firstLine="567"/>
        <w:jc w:val="both"/>
      </w:pPr>
      <w:r>
        <w:rPr>
          <w:rFonts w:ascii="Arial" w:cs="Arial" w:eastAsia="Arial" w:hAnsi="Arial"/>
          <w:sz w:val="24"/>
          <w:szCs w:val="24"/>
        </w:rPr>
        <w:t xml:space="preserve">Также законопроектом предусмотрены нормы, направленные на снижение уровня экологических рисков ртутьсодержащих товаров, негативно влияющих на окружающую среду.</w:t>
      </w:r>
    </w:p>
    <w:p>
      <w:pPr>
        <w:spacing w:after="60"/>
        <w:ind w:firstLine="567"/>
        <w:jc w:val="both"/>
      </w:pPr>
      <w:r>
        <w:rPr>
          <w:rFonts w:ascii="Arial" w:cs="Arial" w:eastAsia="Arial" w:hAnsi="Arial"/>
          <w:sz w:val="24"/>
          <w:szCs w:val="24"/>
        </w:rPr>
        <w:t xml:space="preserve">1. Так, статьей 1 законопроекта предлагается дополнить </w:t>
      </w:r>
      <w:hyperlink w:history="1" r:id="rIdc2an-1mvp4k8twsc69k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 </w:t>
      </w:r>
      <w:r>
        <w:rPr>
          <w:rFonts w:ascii="Arial" w:cs="Arial" w:eastAsia="Arial" w:hAnsi="Arial"/>
          <w:sz w:val="24"/>
          <w:szCs w:val="24"/>
        </w:rPr>
        <w:t xml:space="preserve">статьей 16-1</w:t>
      </w:r>
      <w:r>
        <w:rPr>
          <w:rFonts w:ascii="Arial" w:cs="Arial" w:eastAsia="Arial" w:hAnsi="Arial"/>
          <w:sz w:val="24"/>
          <w:szCs w:val="24"/>
        </w:rPr>
        <w:t xml:space="preserve"> и установить платеж на переработку ртутьсодержащих отходов (утилизационный платеж), уплачиваемый производителями, импортерами ртутьсодержащих изделий, подлежащих переработке после утраты ими потребительских свойств.</w:t>
      </w:r>
    </w:p>
    <w:p>
      <w:pPr>
        <w:spacing w:after="60"/>
        <w:ind w:firstLine="567"/>
        <w:jc w:val="both"/>
      </w:pPr>
      <w:r>
        <w:rPr>
          <w:rFonts w:ascii="Arial" w:cs="Arial" w:eastAsia="Arial" w:hAnsi="Arial"/>
          <w:sz w:val="24"/>
          <w:szCs w:val="24"/>
        </w:rPr>
        <w:t xml:space="preserve">При этом средства, поступившие в республиканский бюджет в счет уплаты утилизационного платежа, расходуются посредством реализации государственных программ Кыргызской Республики в форме предоставления субсидий организациям по переработке ртутьсодержащих отходов на софинансирование утвержденных в установленном порядке работ для покрытия расходов на сбор, транспортировку, переработку отходов от использования ртутьсодержащих изделий.</w:t>
      </w:r>
    </w:p>
    <w:p>
      <w:pPr>
        <w:spacing w:after="60"/>
        <w:ind w:firstLine="567"/>
        <w:jc w:val="both"/>
      </w:pPr>
      <w:r>
        <w:rPr>
          <w:rFonts w:ascii="Arial" w:cs="Arial" w:eastAsia="Arial" w:hAnsi="Arial"/>
          <w:sz w:val="24"/>
          <w:szCs w:val="24"/>
        </w:rPr>
        <w:t xml:space="preserve">Ввиду чего, согласно вышеуказанной редакции, предполагается, что переработка ртутьсодержащих отходов будет осуществляться соответствующими организациями, которые не являются государственными органами.</w:t>
      </w:r>
    </w:p>
    <w:p>
      <w:pPr>
        <w:spacing w:after="60"/>
        <w:ind w:firstLine="567"/>
        <w:jc w:val="both"/>
      </w:pPr>
      <w:r>
        <w:rPr>
          <w:rFonts w:ascii="Arial" w:cs="Arial" w:eastAsia="Arial" w:hAnsi="Arial"/>
          <w:sz w:val="24"/>
          <w:szCs w:val="24"/>
        </w:rPr>
        <w:t xml:space="preserve">Вместе с тем, необходимо отметить, что согласно </w:t>
      </w:r>
      <w:r>
        <w:rPr>
          <w:rFonts w:ascii="Arial" w:cs="Arial" w:eastAsia="Arial" w:hAnsi="Arial"/>
          <w:sz w:val="24"/>
          <w:szCs w:val="24"/>
        </w:rPr>
        <w:t xml:space="preserve">статье 2</w:t>
      </w:r>
      <w:r>
        <w:rPr>
          <w:rFonts w:ascii="Arial" w:cs="Arial" w:eastAsia="Arial" w:hAnsi="Arial"/>
          <w:sz w:val="24"/>
          <w:szCs w:val="24"/>
        </w:rPr>
        <w:t xml:space="preserve"> </w:t>
      </w:r>
      <w:hyperlink w:history="1" r:id="rId6fzuw7ft1tqefu3uc1d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неналоговых платежах", под платежом понимается обязательный денежный взнос, периодически уплачиваемый юридическими и физическими лицами, пользующимися услугами государственных органов, за выполнение государственных функций.</w:t>
      </w:r>
    </w:p>
    <w:p>
      <w:pPr>
        <w:spacing w:after="60"/>
        <w:ind w:firstLine="567"/>
        <w:jc w:val="both"/>
      </w:pPr>
      <w:r>
        <w:rPr>
          <w:rFonts w:ascii="Arial" w:cs="Arial" w:eastAsia="Arial" w:hAnsi="Arial"/>
          <w:sz w:val="24"/>
          <w:szCs w:val="24"/>
        </w:rPr>
        <w:t xml:space="preserve">В связи с чем отмечаем, что в справке-обосновании отсутствует информация за какую государственную услугу будет взиматься утилизационный платеж.</w:t>
      </w:r>
    </w:p>
    <w:p>
      <w:pPr>
        <w:spacing w:after="60"/>
        <w:ind w:firstLine="567"/>
        <w:jc w:val="both"/>
      </w:pPr>
      <w:r>
        <w:rPr>
          <w:rFonts w:ascii="Arial" w:cs="Arial" w:eastAsia="Arial" w:hAnsi="Arial"/>
          <w:sz w:val="24"/>
          <w:szCs w:val="24"/>
        </w:rPr>
        <w:t xml:space="preserve">2. Согласно наименованию проекта Закона, данный проект направлен на регулирование ввоза ртутьсодержащих товаров.</w:t>
      </w:r>
    </w:p>
    <w:p>
      <w:pPr>
        <w:spacing w:after="60"/>
        <w:ind w:firstLine="567"/>
        <w:jc w:val="both"/>
      </w:pPr>
      <w:r>
        <w:rPr>
          <w:rFonts w:ascii="Arial" w:cs="Arial" w:eastAsia="Arial" w:hAnsi="Arial"/>
          <w:sz w:val="24"/>
          <w:szCs w:val="24"/>
        </w:rPr>
        <w:t xml:space="preserve">Однако из содержания статьи 1 проекта следует, что платеж за переработку ртутьсодержащих отходов уплачивается не только импортерами, но и производителями.</w:t>
      </w:r>
    </w:p>
    <w:p>
      <w:pPr>
        <w:spacing w:after="60"/>
        <w:ind w:firstLine="567"/>
        <w:jc w:val="both"/>
      </w:pPr>
      <w:r>
        <w:rPr>
          <w:rFonts w:ascii="Arial" w:cs="Arial" w:eastAsia="Arial" w:hAnsi="Arial"/>
          <w:sz w:val="24"/>
          <w:szCs w:val="24"/>
        </w:rPr>
        <w:t xml:space="preserve">В связи с этим предлагаем пересмотреть редакцию наименования проекта Закона и привести в соответствие с содержанием проекта.</w:t>
      </w:r>
    </w:p>
    <w:p>
      <w:pPr>
        <w:spacing w:after="60"/>
        <w:ind w:firstLine="567"/>
        <w:jc w:val="both"/>
      </w:pPr>
      <w:r>
        <w:rPr>
          <w:rFonts w:ascii="Arial" w:cs="Arial" w:eastAsia="Arial" w:hAnsi="Arial"/>
          <w:sz w:val="24"/>
          <w:szCs w:val="24"/>
        </w:rPr>
        <w:t xml:space="preserve">3. Необходимо отметить, что Правительством Кыргызской Республики разработаны проекты Кодекса о неналоговых доходах Кыргызской Республики и Закона Кыргызской Республики "О введении в действие Кодекса о неналоговых доходах Кыргызской Республики"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7 декабря 2017 года № 793), которые находятся на рассмотрении Жогорку Кенеша Кыргызской Республики.</w:t>
      </w:r>
    </w:p>
    <w:p>
      <w:pPr>
        <w:spacing w:after="60"/>
        <w:ind w:firstLine="567"/>
        <w:jc w:val="both"/>
      </w:pPr>
      <w:r>
        <w:rPr>
          <w:rFonts w:ascii="Arial" w:cs="Arial" w:eastAsia="Arial" w:hAnsi="Arial"/>
          <w:sz w:val="24"/>
          <w:szCs w:val="24"/>
        </w:rPr>
        <w:t xml:space="preserve">В соответствии с проектом Закона Кыргызской Республики "О введении в действие Кодекса о неналоговых доходах Кыргызской Республики", в случае принятия Кодекса о неналоговых доходах Кыргызской Республики, </w:t>
      </w:r>
      <w:hyperlink w:history="1" r:id="rIdkoqwjvhjw-nwohkjb3h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 будет признан утратившим силу.</w:t>
      </w:r>
    </w:p>
    <w:p>
      <w:pPr>
        <w:spacing w:after="60"/>
        <w:ind w:firstLine="567"/>
        <w:jc w:val="both"/>
      </w:pPr>
      <w:r>
        <w:rPr>
          <w:rFonts w:ascii="Arial" w:cs="Arial" w:eastAsia="Arial" w:hAnsi="Arial"/>
          <w:sz w:val="24"/>
          <w:szCs w:val="24"/>
        </w:rPr>
        <w:t xml:space="preserve">В связи с чем необходимо пересмотреть положения статей 1 и 2 рассматриваемого законопроекта с учетом норм проекта Кодекса о неналоговых доходах Кыргызской Республики.</w:t>
      </w:r>
    </w:p>
    <w:p>
      <w:pPr>
        <w:spacing w:after="60"/>
        <w:ind w:firstLine="567"/>
        <w:jc w:val="both"/>
      </w:pPr>
      <w:r>
        <w:rPr>
          <w:rFonts w:ascii="Arial" w:cs="Arial" w:eastAsia="Arial" w:hAnsi="Arial"/>
          <w:sz w:val="24"/>
          <w:szCs w:val="24"/>
        </w:rPr>
        <w:t xml:space="preserve">4. В соответствии со </w:t>
      </w:r>
      <w:r>
        <w:rPr>
          <w:rFonts w:ascii="Arial" w:cs="Arial" w:eastAsia="Arial" w:hAnsi="Arial"/>
          <w:sz w:val="24"/>
          <w:szCs w:val="24"/>
        </w:rPr>
        <w:t xml:space="preserve">статьей 19</w:t>
      </w:r>
      <w:r>
        <w:rPr>
          <w:rFonts w:ascii="Arial" w:cs="Arial" w:eastAsia="Arial" w:hAnsi="Arial"/>
          <w:sz w:val="24"/>
          <w:szCs w:val="24"/>
        </w:rPr>
        <w:t xml:space="preserve"> </w:t>
      </w:r>
      <w:hyperlink w:history="1" r:id="rIdr9vkl6h_jsnqxflz8evc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В этой связи следует отметить, что представленный анализ регулятивного воздействия законопроекта не соответствует </w:t>
      </w:r>
      <w:hyperlink w:history="1" r:id="rIdg0mq3c5nhvwnmf1x6s6gs">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whklvf1h41ei066enjyc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1) Так, в целях проведения анализа регулятивного воздействия образуется рабочая группа в сфере вводимого регулирования в составе специалистов в области юриспруденции, финансов и экономики.</w:t>
      </w:r>
    </w:p>
    <w:p>
      <w:pPr>
        <w:spacing w:after="60"/>
        <w:ind w:firstLine="567"/>
        <w:jc w:val="both"/>
      </w:pPr>
      <w:r>
        <w:rPr>
          <w:rFonts w:ascii="Arial" w:cs="Arial" w:eastAsia="Arial" w:hAnsi="Arial"/>
          <w:sz w:val="24"/>
          <w:szCs w:val="24"/>
        </w:rPr>
        <w:t xml:space="preserve">Наряду с этим одним из требований анализа является участие в рабочей группе представителей бизнес-сообществ и обязательное наличие подписей всех членов рабочей группы.</w:t>
      </w:r>
    </w:p>
    <w:p>
      <w:pPr>
        <w:spacing w:after="60"/>
        <w:ind w:firstLine="567"/>
        <w:jc w:val="both"/>
      </w:pPr>
      <w:r>
        <w:rPr>
          <w:rFonts w:ascii="Arial" w:cs="Arial" w:eastAsia="Arial" w:hAnsi="Arial"/>
          <w:sz w:val="24"/>
          <w:szCs w:val="24"/>
        </w:rPr>
        <w:t xml:space="preserve">2) На этапе определения проблемы, должна быть дана точная формулировка проблемы (нужно точное описание причин проблем, их актуальность и основание для регулирования), также необходимо отразить все выявленные неблагоприятные события, выявить связи между ними и причины, из-за которых они происходят, отразить все выявленные связи в "дереве проблем" и отработать корневые проблемы для решения по критерию возможных ресурсных и других ограничений.</w:t>
      </w:r>
    </w:p>
    <w:p>
      <w:pPr>
        <w:spacing w:after="60"/>
        <w:ind w:firstLine="567"/>
        <w:jc w:val="both"/>
      </w:pPr>
      <w:r>
        <w:rPr>
          <w:rFonts w:ascii="Arial" w:cs="Arial" w:eastAsia="Arial" w:hAnsi="Arial"/>
          <w:sz w:val="24"/>
          <w:szCs w:val="24"/>
        </w:rPr>
        <w:t xml:space="preserve">В соответствии с полученными результатами необходимо провести анализ законодательства в части регулирования анализируемых отношений, описать особенности правоприменительной практики и указать какие государственные органы, органы местного самоуправления, каким образом влияют на ситуацию и выявить основания для государственного вмешательства.</w:t>
      </w:r>
    </w:p>
    <w:p>
      <w:pPr>
        <w:spacing w:after="60"/>
        <w:ind w:firstLine="567"/>
        <w:jc w:val="both"/>
      </w:pPr>
      <w:r>
        <w:rPr>
          <w:rFonts w:ascii="Arial" w:cs="Arial" w:eastAsia="Arial" w:hAnsi="Arial"/>
          <w:sz w:val="24"/>
          <w:szCs w:val="24"/>
        </w:rPr>
        <w:t xml:space="preserve">В представленном анализе регулятивного воздействия не определен масштаб проблем (в экономическом, социальном, территориальном, временном и других измерениях).</w:t>
      </w:r>
    </w:p>
    <w:p>
      <w:pPr>
        <w:spacing w:after="60"/>
        <w:ind w:firstLine="567"/>
        <w:jc w:val="both"/>
      </w:pPr>
      <w:r>
        <w:rPr>
          <w:rFonts w:ascii="Arial" w:cs="Arial" w:eastAsia="Arial" w:hAnsi="Arial"/>
          <w:sz w:val="24"/>
          <w:szCs w:val="24"/>
        </w:rPr>
        <w:t xml:space="preserve">3) На этапе определения целей регулирования формируются конкретные цели государственного регулирования и определяются количественные и качественные индикаторы достижения целей (показателей воздействия) с целевыми значениями для оценки их достижения.</w:t>
      </w:r>
    </w:p>
    <w:p>
      <w:pPr>
        <w:spacing w:after="60"/>
        <w:ind w:firstLine="567"/>
        <w:jc w:val="both"/>
      </w:pPr>
      <w:r>
        <w:rPr>
          <w:rFonts w:ascii="Arial" w:cs="Arial" w:eastAsia="Arial" w:hAnsi="Arial"/>
          <w:sz w:val="24"/>
          <w:szCs w:val="24"/>
        </w:rPr>
        <w:t xml:space="preserve">4) Также, при анализе вариантов регулирования отсутствуют положения, определяющие способ регулирования и регулятивное воздействие.</w:t>
      </w:r>
    </w:p>
    <w:p>
      <w:pPr>
        <w:spacing w:after="60"/>
        <w:ind w:firstLine="567"/>
        <w:jc w:val="both"/>
      </w:pPr>
      <w:r>
        <w:rPr>
          <w:rFonts w:ascii="Arial" w:cs="Arial" w:eastAsia="Arial" w:hAnsi="Arial"/>
          <w:sz w:val="24"/>
          <w:szCs w:val="24"/>
        </w:rPr>
        <w:t xml:space="preserve">5) Кроме того, необходимо изложить реализационные риски, основные результаты анализа возможных рисков, потенциальных сложностей, которые могут возникнуть во время реализации данного варианта регулирования, и предложения по снижению их негативного воздействия на реализацию нормативных правовых актов.</w:t>
      </w:r>
    </w:p>
    <w:p>
      <w:pPr>
        <w:spacing w:after="60"/>
        <w:ind w:firstLine="567"/>
        <w:jc w:val="both"/>
      </w:pPr>
      <w:r>
        <w:rPr>
          <w:rFonts w:ascii="Arial" w:cs="Arial" w:eastAsia="Arial" w:hAnsi="Arial"/>
          <w:sz w:val="24"/>
          <w:szCs w:val="24"/>
        </w:rPr>
        <w:t xml:space="preserve">6) По результатам общественных обсуждений необходимо указать информацию, отображающую отношение к предложенному варианту регулирования заинтересованных сторон: субъектов предпринимательства, физических лиц и их объединений,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Кроме того, согласно указанной выше </w:t>
      </w:r>
      <w:hyperlink w:history="1" r:id="rIdtvk42lghevxe4jvfcmqge">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 общественному обсуждению подлежит не только проект нормативного правового акта, но также аналитическая записка, подготовленная по результатам проведенного анализа регулятивного воздействия.</w:t>
      </w:r>
    </w:p>
    <w:p>
      <w:pPr>
        <w:spacing w:after="60"/>
        <w:ind w:firstLine="567"/>
        <w:jc w:val="both"/>
      </w:pPr>
      <w:r>
        <w:rPr>
          <w:rFonts w:ascii="Arial" w:cs="Arial" w:eastAsia="Arial" w:hAnsi="Arial"/>
          <w:sz w:val="24"/>
          <w:szCs w:val="24"/>
        </w:rPr>
        <w:t xml:space="preserve">5. По статье 4 проекта Закона следует отметить, что согласно статьям </w:t>
      </w:r>
      <w:r>
        <w:rPr>
          <w:rFonts w:ascii="Arial" w:cs="Arial" w:eastAsia="Arial" w:hAnsi="Arial"/>
          <w:sz w:val="24"/>
          <w:szCs w:val="24"/>
        </w:rPr>
        <w:t xml:space="preserve">28</w:t>
      </w:r>
      <w:r>
        <w:rPr>
          <w:rFonts w:ascii="Arial" w:cs="Arial" w:eastAsia="Arial" w:hAnsi="Arial"/>
          <w:sz w:val="24"/>
          <w:szCs w:val="24"/>
        </w:rPr>
        <w:t xml:space="preserve"> и </w:t>
      </w:r>
      <w:r>
        <w:rPr>
          <w:rFonts w:ascii="Arial" w:cs="Arial" w:eastAsia="Arial" w:hAnsi="Arial"/>
          <w:sz w:val="24"/>
          <w:szCs w:val="24"/>
        </w:rPr>
        <w:t xml:space="preserve">30</w:t>
      </w:r>
      <w:r>
        <w:rPr>
          <w:rFonts w:ascii="Arial" w:cs="Arial" w:eastAsia="Arial" w:hAnsi="Arial"/>
          <w:sz w:val="24"/>
          <w:szCs w:val="24"/>
        </w:rPr>
        <w:t xml:space="preserve"> </w:t>
      </w:r>
      <w:hyperlink w:history="1" r:id="rIdq_s9spza8jqolybcqynb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официальное опубликование, и включение в Государственный реестр нормативных правовых актов Кыргызской Республики являются обязательными условиями вступления нормативного правового акта в силу.</w:t>
      </w:r>
    </w:p>
    <w:p>
      <w:pPr>
        <w:spacing w:after="60"/>
        <w:ind w:firstLine="567"/>
        <w:jc w:val="both"/>
      </w:pPr>
      <w:r>
        <w:rPr>
          <w:rFonts w:ascii="Arial" w:cs="Arial" w:eastAsia="Arial" w:hAnsi="Arial"/>
          <w:sz w:val="24"/>
          <w:szCs w:val="24"/>
        </w:rPr>
        <w:t xml:space="preserve">Вместе с тем, обеспечить включение нормативного правового акта в Государственный реестр нормативных правовых актов Кыргызской Республики в день его официального опубликования не представляется возможным, ввиду того, что нормативные правовые акты предоставляются в Министерство юстиции Кыргызской Республики для включения в обозначенный Реестр только после официального опубликования в течение 7 дней.</w:t>
      </w:r>
    </w:p>
    <w:p>
      <w:pPr>
        <w:spacing w:after="60"/>
        <w:ind w:firstLine="567"/>
        <w:jc w:val="both"/>
      </w:pPr>
      <w:r>
        <w:rPr>
          <w:rFonts w:ascii="Arial" w:cs="Arial" w:eastAsia="Arial" w:hAnsi="Arial"/>
          <w:sz w:val="24"/>
          <w:szCs w:val="24"/>
        </w:rPr>
        <w:t xml:space="preserve">В связи с чем предлагается статью 4 проекта Закона изложить в следующей редакции:</w:t>
      </w:r>
    </w:p>
    <w:p>
      <w:pPr>
        <w:spacing w:after="60"/>
        <w:ind w:firstLine="567"/>
        <w:jc w:val="both"/>
      </w:pPr>
      <w:r>
        <w:rPr>
          <w:rFonts w:ascii="Arial" w:cs="Arial" w:eastAsia="Arial" w:hAnsi="Arial"/>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На основании изложенного Правительство Кыргызской Республики считает, что проект Закона Кыргызской Республики "О внесении изменений в законодательные акты Кыргызской Республики по вопросам регулирования ввоза ртутьсодержащих товаров" требует доработки с учетом изложенных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f-t6-ynmrsgqemd-vca">
      <w:r>
        <w:rPr>
          <w:rFonts w:ascii="Arial" w:cs="Arial" w:eastAsia="Arial" w:hAnsi="Arial"/>
          <w:color w:val="132D3F"/>
          <w:sz w:val="16"/>
          <w:szCs w:val="16"/>
          <w:u w:val="single"/>
        </w:rPr>
        <w:t xml:space="preserve">dalil.kg/document/11894</w:t>
      </w:r>
    </w:hyperlink>
  </w:p>
  <w:p>
    <w:pPr>
      <w:spacing w:after="0" w:before="40"/>
      <w:jc w:val="center"/>
    </w:pPr>
    <w:hyperlink w:history="1" r:id="rIdksv7tqabfywikt6bztbd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pjuyctwlajeefurts8us" Type="http://schemas.openxmlformats.org/officeDocument/2006/relationships/hyperlink" Target="https://dalil.kg/document/203685" TargetMode="External"/><Relationship Id="rIddy3otsvueqflxrdp0dvwl" Type="http://schemas.openxmlformats.org/officeDocument/2006/relationships/hyperlink" Target="https://dalil.kg/document/11894#p1" TargetMode="External"/><Relationship Id="rIdzf_d1x7ep2d2f7nv3pnm1" Type="http://schemas.openxmlformats.org/officeDocument/2006/relationships/hyperlink" Target="https://dalil.kg/document/11894" TargetMode="External"/><Relationship Id="rIdxu1iyn8udhbo_qumi3tx8" Type="http://schemas.openxmlformats.org/officeDocument/2006/relationships/hyperlink" Target="https://dalil.kg/document/203685" TargetMode="External"/><Relationship Id="rIdc2an-1mvp4k8twsc69kdd" Type="http://schemas.openxmlformats.org/officeDocument/2006/relationships/hyperlink" Target="https://dalil.kg/document/741" TargetMode="External"/><Relationship Id="rId6fzuw7ft1tqefu3uc1dyt" Type="http://schemas.openxmlformats.org/officeDocument/2006/relationships/hyperlink" Target="https://dalil.kg/document/741" TargetMode="External"/><Relationship Id="rIdkoqwjvhjw-nwohkjb3hix" Type="http://schemas.openxmlformats.org/officeDocument/2006/relationships/hyperlink" Target="https://dalil.kg/document/741" TargetMode="External"/><Relationship Id="rIdr9vkl6h_jsnqxflz8evcd" Type="http://schemas.openxmlformats.org/officeDocument/2006/relationships/hyperlink" Target="https://dalil.kg/document/202591" TargetMode="External"/><Relationship Id="rIdg0mq3c5nhvwnmf1x6s6gs" Type="http://schemas.openxmlformats.org/officeDocument/2006/relationships/hyperlink" Target="https://dalil.kg/document/97019" TargetMode="External"/><Relationship Id="rIdwhklvf1h41ei066enjyco" Type="http://schemas.openxmlformats.org/officeDocument/2006/relationships/hyperlink" Target="https://dalil.kg/document/97018" TargetMode="External"/><Relationship Id="rIdtvk42lghevxe4jvfcmqge" Type="http://schemas.openxmlformats.org/officeDocument/2006/relationships/hyperlink" Target="https://dalil.kg/document/97019" TargetMode="External"/><Relationship Id="rIdq_s9spza8jqolybcqynb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f-t6-ynmrsgqemd-vca" Type="http://schemas.openxmlformats.org/officeDocument/2006/relationships/hyperlink" Target="https://dalil.kg/document/11894" TargetMode="External"/><Relationship Id="rIdksv7tqabfywikt6bztbd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2026-10-02T23:05:26.740Z</dcterms:created>
  <dcterms:modified xsi:type="dcterms:W3CDTF">2026-10-02T23:05:26.740Z</dcterms:modified>
</cp:coreProperties>
</file>

<file path=docProps/custom.xml><?xml version="1.0" encoding="utf-8"?>
<Properties xmlns="http://schemas.openxmlformats.org/officeDocument/2006/custom-properties" xmlns:vt="http://schemas.openxmlformats.org/officeDocument/2006/docPropsVTypes"/>
</file>