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32"/>
          <w:szCs w:val="32"/>
        </w:rPr>
        <w:t xml:space="preserve">ПРАВИТЕЛЬСТВО КЫРГЫЗСКОЙ РЕСПУБЛИКИ</w:t>
      </w:r>
    </w:p>
    <w:p>
      <w:pPr>
        <w:spacing w:after="120"/>
        <w:jc w:val="both"/>
      </w:pPr>
      <w:r>
        <w:rPr>
          <w:rFonts w:ascii="Arial" w:cs="Arial" w:eastAsia="Arial" w:hAnsi="Arial"/>
          <w:sz w:val="32"/>
          <w:szCs w:val="32"/>
        </w:rPr>
        <w:t xml:space="preserve">ПОСТАНОВЛЕНИЕ</w:t>
      </w:r>
    </w:p>
    <w:p>
      <w:pPr>
        <w:spacing w:after="120"/>
        <w:jc w:val="both"/>
      </w:pPr>
      <w:r>
        <w:rPr>
          <w:rFonts w:ascii="Arial" w:cs="Arial" w:eastAsia="Arial" w:hAnsi="Arial"/>
          <w:sz w:val="24"/>
          <w:szCs w:val="24"/>
        </w:rPr>
        <w:t xml:space="preserve">от 6 апреля 2018 года № 188</w:t>
      </w:r>
    </w:p>
    <w:p>
      <w:pPr>
        <w:spacing w:after="120"/>
        <w:jc w:val="both"/>
      </w:pPr>
      <w:r>
        <w:rPr>
          <w:rFonts w:ascii="Arial" w:cs="Arial" w:eastAsia="Arial" w:hAnsi="Arial"/>
          <w:sz w:val="28"/>
          <w:szCs w:val="28"/>
        </w:rPr>
        <w:t xml:space="preserve">О заключении Правительства Кыргызской Республики на проект Закона Кыргызской Республики "О внесении изменений в Гражданский кодекс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31</w:t>
      </w:r>
      <w:r>
        <w:rPr>
          <w:rFonts w:ascii="Arial" w:cs="Arial" w:eastAsia="Arial" w:hAnsi="Arial"/>
          <w:sz w:val="24"/>
          <w:szCs w:val="24"/>
        </w:rPr>
        <w:t xml:space="preserve"> </w:t>
      </w:r>
      <w:hyperlink w:history="1" r:id="rIdmwv-tm_ow8p_p0vbvlldc">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прилагаемое </w:t>
      </w:r>
      <w:hyperlink w:history="1" r:id="rId2tuth-ne1qccdzq_yc0gf">
        <w:r>
          <w:rPr>
            <w:rFonts w:ascii="Arial" w:cs="Arial" w:eastAsia="Arial" w:hAnsi="Arial"/>
            <w:color w:val="1D4ED8"/>
            <w:sz w:val="24"/>
            <w:szCs w:val="24"/>
            <w:u w:val="single"/>
          </w:rPr>
          <w:t xml:space="preserve">заключение</w:t>
        </w:r>
      </w:hyperlink>
      <w:r>
        <w:rPr>
          <w:rFonts w:ascii="Arial" w:cs="Arial" w:eastAsia="Arial" w:hAnsi="Arial"/>
          <w:sz w:val="24"/>
          <w:szCs w:val="24"/>
        </w:rPr>
        <w:t xml:space="preserve"> Правительства Кыргызской Республики на проект Закона Кыргызской Республики "О внесении изменений в Гражданский </w:t>
      </w:r>
      <w:hyperlink w:history="1" r:id="rIdejojfhrpmqqqzk8zejp5h">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инициированный депутатом Жогорку Кенеша Кыргызской Республики Бекешевым Д.Д.</w:t>
      </w:r>
    </w:p>
    <w:p>
      <w:pPr>
        <w:spacing w:after="120"/>
        <w:jc w:val="both"/>
      </w:pPr>
      <w:r>
        <w:rPr>
          <w:rFonts w:ascii="Arial" w:cs="Arial" w:eastAsia="Arial" w:hAnsi="Arial"/>
          <w:sz w:val="24"/>
          <w:szCs w:val="24"/>
        </w:rPr>
        <w:t xml:space="preserve">2. Направить настоящее постановление в Жогорку Кенеш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Премьер-министр</w:t>
      </w:r>
      <w:r>
        <w:rPr>
          <w:rFonts w:ascii="Arial" w:cs="Arial" w:eastAsia="Arial" w:hAnsi="Arial"/>
          <w:sz w:val="24"/>
          <w:szCs w:val="24"/>
        </w:rPr>
        <w:t xml:space="preserve">	</w:t>
      </w:r>
      <w:r>
        <w:rPr>
          <w:rFonts w:ascii="Arial" w:cs="Arial" w:eastAsia="Arial" w:hAnsi="Arial"/>
          <w:sz w:val="24"/>
          <w:szCs w:val="24"/>
        </w:rPr>
        <w:t xml:space="preserve">С. Исаков</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Одобрено
 </w:t>
      </w:r>
      <w:hyperlink w:history="1" r:id="rIdx9otmp6owel-oloche0v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6 апреля 2018 года № 188</w:t>
      </w:r>
    </w:p>
    <w:p>
      <w:pPr>
        <w:spacing w:after="400" w:before="400"/>
        <w:jc w:val="center"/>
      </w:pPr>
      <w:r>
        <w:rPr>
          <w:rFonts w:ascii="Arial" w:cs="Arial" w:eastAsia="Arial" w:hAnsi="Arial"/>
          <w:b/>
          <w:bCs/>
          <w:sz w:val="24"/>
          <w:szCs w:val="24"/>
        </w:rPr>
        <w:t xml:space="preserve">ЗАКЛЮЧЕНИЕ</w:t>
      </w:r>
      <w:r>
        <w:rPr>
          <w:rFonts w:ascii="Arial" w:cs="Arial" w:eastAsia="Arial" w:hAnsi="Arial"/>
          <w:sz w:val="24"/>
          <w:szCs w:val="24"/>
        </w:rPr>
        <w:t xml:space="preserve"> </w:t>
      </w:r>
      <w:r>
        <w:rPr>
          <w:rFonts w:ascii="Arial" w:cs="Arial" w:eastAsia="Arial" w:hAnsi="Arial"/>
          <w:b/>
          <w:bCs/>
          <w:sz w:val="24"/>
          <w:szCs w:val="24"/>
        </w:rPr>
        <w:t xml:space="preserve">Правительства Кыргызской Республики на проект Закона Кыргызской Республики "О внесении изменений в Гражданский кодекс Кыргызской Республики"</w:t>
      </w:r>
    </w:p>
    <w:p>
      <w:pPr>
        <w:spacing w:after="60"/>
        <w:ind w:firstLine="567"/>
        <w:jc w:val="both"/>
      </w:pPr>
      <w:r>
        <w:rPr>
          <w:rFonts w:ascii="Arial" w:cs="Arial" w:eastAsia="Arial" w:hAnsi="Arial"/>
          <w:sz w:val="24"/>
          <w:szCs w:val="24"/>
        </w:rPr>
        <w:t xml:space="preserve">Правительство Кыргызской Республики в соответствии со </w:t>
      </w:r>
      <w:r>
        <w:rPr>
          <w:rFonts w:ascii="Arial" w:cs="Arial" w:eastAsia="Arial" w:hAnsi="Arial"/>
          <w:sz w:val="24"/>
          <w:szCs w:val="24"/>
        </w:rPr>
        <w:t xml:space="preserve">статьей 31</w:t>
      </w:r>
      <w:r>
        <w:rPr>
          <w:rFonts w:ascii="Arial" w:cs="Arial" w:eastAsia="Arial" w:hAnsi="Arial"/>
          <w:sz w:val="24"/>
          <w:szCs w:val="24"/>
        </w:rPr>
        <w:t xml:space="preserve"> </w:t>
      </w:r>
      <w:hyperlink w:history="1" r:id="rIdvzbp61wmzp91m36eimvyn">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рассмотрев проект Закона Кыргызской Республики "О внесении изменений в Гражданский </w:t>
      </w:r>
      <w:hyperlink w:history="1" r:id="rIdnygrw_wyqdfqyhqfld1fn">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инициированный депутатом Жогорку Кенеша Кыргызской Республики Бекешевым Д.Д., отмечает следующее.</w:t>
      </w:r>
    </w:p>
    <w:p>
      <w:pPr>
        <w:spacing w:after="60"/>
        <w:ind w:firstLine="567"/>
        <w:jc w:val="both"/>
      </w:pPr>
      <w:r>
        <w:rPr>
          <w:rFonts w:ascii="Arial" w:cs="Arial" w:eastAsia="Arial" w:hAnsi="Arial"/>
          <w:sz w:val="24"/>
          <w:szCs w:val="24"/>
        </w:rPr>
        <w:t xml:space="preserve">Относительно внесения изменений в часть 2 </w:t>
      </w:r>
      <w:r>
        <w:rPr>
          <w:rFonts w:ascii="Arial" w:cs="Arial" w:eastAsia="Arial" w:hAnsi="Arial"/>
          <w:sz w:val="24"/>
          <w:szCs w:val="24"/>
        </w:rPr>
        <w:t xml:space="preserve">статьи 16</w:t>
      </w:r>
      <w:r>
        <w:rPr>
          <w:rFonts w:ascii="Arial" w:cs="Arial" w:eastAsia="Arial" w:hAnsi="Arial"/>
          <w:sz w:val="24"/>
          <w:szCs w:val="24"/>
        </w:rPr>
        <w:t xml:space="preserve">, в часть 2 </w:t>
      </w:r>
      <w:r>
        <w:rPr>
          <w:rFonts w:ascii="Arial" w:cs="Arial" w:eastAsia="Arial" w:hAnsi="Arial"/>
          <w:sz w:val="24"/>
          <w:szCs w:val="24"/>
        </w:rPr>
        <w:t xml:space="preserve">статьи 1028</w:t>
      </w:r>
      <w:r>
        <w:rPr>
          <w:rFonts w:ascii="Arial" w:cs="Arial" w:eastAsia="Arial" w:hAnsi="Arial"/>
          <w:sz w:val="24"/>
          <w:szCs w:val="24"/>
        </w:rPr>
        <w:t xml:space="preserve"> Гражданского </w:t>
      </w:r>
      <w:hyperlink w:history="1" r:id="rIdajvk8_ccenuwd4ibjrgnt">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предусматривающих установление размера компенсации морального вреда не ниже двухсот расчетных показателей, за исключением случаев, если потерпевший потребовал меньшую сумму, сообщаем следующее.</w:t>
      </w:r>
    </w:p>
    <w:p>
      <w:pPr>
        <w:spacing w:after="60"/>
        <w:ind w:firstLine="567"/>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1028</w:t>
      </w:r>
      <w:r>
        <w:rPr>
          <w:rFonts w:ascii="Arial" w:cs="Arial" w:eastAsia="Arial" w:hAnsi="Arial"/>
          <w:sz w:val="24"/>
          <w:szCs w:val="24"/>
        </w:rPr>
        <w:t xml:space="preserve"> Гражданского </w:t>
      </w:r>
      <w:hyperlink w:history="1" r:id="rId8f8vwfngfwmxxoplftbgf">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"размер возмещения морального вреда определяется судом, в зависимости от характера причиненных потерпевшему физических и нравственных страданий, а также степени вины причинителя в случаях, когда вина является основанием возмещения. При определении размера возмещения вреда должны учитываться требования разумности и справедливости.</w:t>
      </w:r>
    </w:p>
    <w:p>
      <w:pPr>
        <w:spacing w:after="60"/>
        <w:ind w:firstLine="567"/>
        <w:jc w:val="both"/>
      </w:pPr>
      <w:r>
        <w:rPr>
          <w:rFonts w:ascii="Arial" w:cs="Arial" w:eastAsia="Arial" w:hAnsi="Arial"/>
          <w:sz w:val="24"/>
          <w:szCs w:val="24"/>
        </w:rPr>
        <w:t xml:space="preserve">Характер физических и нравственных страданий оценивается судом с учетом фактических обстоятельств, при которых был причинен моральный вред, и индивидуальных особенностей потерпевшего.".</w:t>
      </w:r>
    </w:p>
    <w:p>
      <w:pPr>
        <w:spacing w:after="60"/>
        <w:ind w:firstLine="567"/>
        <w:jc w:val="both"/>
      </w:pPr>
      <w:r>
        <w:rPr>
          <w:rFonts w:ascii="Arial" w:cs="Arial" w:eastAsia="Arial" w:hAnsi="Arial"/>
          <w:sz w:val="24"/>
          <w:szCs w:val="24"/>
        </w:rPr>
        <w:t xml:space="preserve">Согласно пункту 3 </w:t>
      </w:r>
      <w:r>
        <w:rPr>
          <w:rFonts w:ascii="Arial" w:cs="Arial" w:eastAsia="Arial" w:hAnsi="Arial"/>
          <w:sz w:val="24"/>
          <w:szCs w:val="24"/>
        </w:rPr>
        <w:t xml:space="preserve">постановления</w:t>
      </w:r>
      <w:r>
        <w:rPr>
          <w:rFonts w:ascii="Arial" w:cs="Arial" w:eastAsia="Arial" w:hAnsi="Arial"/>
          <w:sz w:val="24"/>
          <w:szCs w:val="24"/>
        </w:rPr>
        <w:t xml:space="preserve"> Пленума Верховного суда Кыргызской Республики "О некоторых вопросах судебной практики применения законодательства о возмещении морального вреда" от 4 ноября 2004 года № 11 "под моральным вредом в соответствии со </w:t>
      </w:r>
      <w:r>
        <w:rPr>
          <w:rFonts w:ascii="Arial" w:cs="Arial" w:eastAsia="Arial" w:hAnsi="Arial"/>
          <w:sz w:val="24"/>
          <w:szCs w:val="24"/>
        </w:rPr>
        <w:t xml:space="preserve">статьей 16</w:t>
      </w:r>
      <w:r>
        <w:rPr>
          <w:rFonts w:ascii="Arial" w:cs="Arial" w:eastAsia="Arial" w:hAnsi="Arial"/>
          <w:sz w:val="24"/>
          <w:szCs w:val="24"/>
        </w:rPr>
        <w:t xml:space="preserve"> Гражданского </w:t>
      </w:r>
      <w:hyperlink w:history="1" r:id="rIdbjl_lj4pctfzcyl-a-bkl">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следует понимать нравственные и/или физические страдания, испытываемые гражданином в результате противоправного нарушения, умаления или лишения принадлежащих ему личных неимущественных прав и нематериальных благ. Также размер компенсации морального вреда может быть пропорционален нарушенным правам потерпевшего, при этом не может быть поставлен в зависимость от размера удовлетворенного иска о возмещении материального вреда, убытков и других материальных требований.".</w:t>
      </w:r>
    </w:p>
    <w:p>
      <w:pPr>
        <w:spacing w:after="60"/>
        <w:ind w:firstLine="567"/>
        <w:jc w:val="both"/>
      </w:pPr>
      <w:r>
        <w:rPr>
          <w:rFonts w:ascii="Arial" w:cs="Arial" w:eastAsia="Arial" w:hAnsi="Arial"/>
          <w:sz w:val="24"/>
          <w:szCs w:val="24"/>
        </w:rPr>
        <w:t xml:space="preserve">Вместе с тем, согласно </w:t>
      </w:r>
      <w:r>
        <w:rPr>
          <w:rFonts w:ascii="Arial" w:cs="Arial" w:eastAsia="Arial" w:hAnsi="Arial"/>
          <w:sz w:val="24"/>
          <w:szCs w:val="24"/>
        </w:rPr>
        <w:t xml:space="preserve">статье 999</w:t>
      </w:r>
      <w:r>
        <w:rPr>
          <w:rFonts w:ascii="Arial" w:cs="Arial" w:eastAsia="Arial" w:hAnsi="Arial"/>
          <w:sz w:val="24"/>
          <w:szCs w:val="24"/>
        </w:rPr>
        <w:t xml:space="preserve"> Гражданского </w:t>
      </w:r>
      <w:hyperlink w:history="1" r:id="rIdwjugstgne7y68n8k4t9yw">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"вред, причиненный гражданину в результате незаконного осуждения, незаконного привлечения к уголовной ответственности, незаконного применения в качестве меры пресечения заключения под стражу или подписки о невыезде, незаконного наложения административного взыскания в виде ареста, возмещается государством в полном объеме независимо от вины должностных лиц органов дознания, предварительного следствия, прокуратуры и суда в порядке, установленном законом.".</w:t>
      </w:r>
    </w:p>
    <w:p>
      <w:pPr>
        <w:spacing w:after="60"/>
        <w:ind w:firstLine="567"/>
        <w:jc w:val="both"/>
      </w:pPr>
      <w:r>
        <w:rPr>
          <w:rFonts w:ascii="Arial" w:cs="Arial" w:eastAsia="Arial" w:hAnsi="Arial"/>
          <w:sz w:val="24"/>
          <w:szCs w:val="24"/>
        </w:rPr>
        <w:t xml:space="preserve">По данным категориям гражданских дел ответчиком выступает Министерство финансов Кыргызской Республики и вред возмещается за счет средств республиканского бюджета. В этом случае, установление минимального размера возмещения морального вреда может повлечь соответствующие изменения в расходной части республиканского бюджета.</w:t>
      </w:r>
    </w:p>
    <w:p>
      <w:pPr>
        <w:spacing w:after="60"/>
        <w:ind w:firstLine="567"/>
        <w:jc w:val="both"/>
      </w:pPr>
      <w:r>
        <w:rPr>
          <w:rFonts w:ascii="Arial" w:cs="Arial" w:eastAsia="Arial" w:hAnsi="Arial"/>
          <w:sz w:val="24"/>
          <w:szCs w:val="24"/>
        </w:rPr>
        <w:t xml:space="preserve">Кроме того, в соответствии со </w:t>
      </w:r>
      <w:r>
        <w:rPr>
          <w:rFonts w:ascii="Arial" w:cs="Arial" w:eastAsia="Arial" w:hAnsi="Arial"/>
          <w:sz w:val="24"/>
          <w:szCs w:val="24"/>
        </w:rPr>
        <w:t xml:space="preserve">статьей 10</w:t>
      </w:r>
      <w:r>
        <w:rPr>
          <w:rFonts w:ascii="Arial" w:cs="Arial" w:eastAsia="Arial" w:hAnsi="Arial"/>
          <w:sz w:val="24"/>
          <w:szCs w:val="24"/>
        </w:rPr>
        <w:t xml:space="preserve"> </w:t>
      </w:r>
      <w:hyperlink w:history="1" r:id="rId3apdktnqgrdtqb60a4tkv">
        <w:r>
          <w:rPr>
            <w:rFonts w:ascii="Arial" w:cs="Arial" w:eastAsia="Arial" w:hAnsi="Arial"/>
            <w:color w:val="1D4ED8"/>
            <w:sz w:val="24"/>
            <w:szCs w:val="24"/>
            <w:u w:val="single"/>
          </w:rPr>
          <w:t xml:space="preserve">Гражданско-процессуального кодекса</w:t>
        </w:r>
      </w:hyperlink>
      <w:r>
        <w:rPr>
          <w:rFonts w:ascii="Arial" w:cs="Arial" w:eastAsia="Arial" w:hAnsi="Arial"/>
          <w:sz w:val="24"/>
          <w:szCs w:val="24"/>
        </w:rPr>
        <w:t xml:space="preserve"> Кыргызской Республики правосудие по гражданским делам осуществляется на основе состязательности и равноправия сторон, суд создает условия для всестороннего и полного исследования доказательств, установления обстоятельств и правильного применения законодательства при разрешении гражданских дел.</w:t>
      </w:r>
    </w:p>
    <w:p>
      <w:pPr>
        <w:spacing w:after="60"/>
        <w:ind w:firstLine="567"/>
        <w:jc w:val="both"/>
      </w:pPr>
      <w:r>
        <w:rPr>
          <w:rFonts w:ascii="Arial" w:cs="Arial" w:eastAsia="Arial" w:hAnsi="Arial"/>
          <w:sz w:val="24"/>
          <w:szCs w:val="24"/>
        </w:rPr>
        <w:t xml:space="preserve">Также </w:t>
      </w:r>
      <w:r>
        <w:rPr>
          <w:rFonts w:ascii="Arial" w:cs="Arial" w:eastAsia="Arial" w:hAnsi="Arial"/>
          <w:sz w:val="24"/>
          <w:szCs w:val="24"/>
        </w:rPr>
        <w:t xml:space="preserve">статьей 65</w:t>
      </w:r>
      <w:r>
        <w:rPr>
          <w:rFonts w:ascii="Arial" w:cs="Arial" w:eastAsia="Arial" w:hAnsi="Arial"/>
          <w:sz w:val="24"/>
          <w:szCs w:val="24"/>
        </w:rPr>
        <w:t xml:space="preserve"> названного Кодекса установлено, что лица, участвующие в деле, должны доказать те обстоятельства, на которые они ссылаются как на основания своих требований и возражений, в связи с чем доводы, приведенные в справке-обосновании к законопроекту относительно того, что бремя доказывания законодательно лежит на распространителе порочащих сведений, не соответствуют вышеуказанным нормам.</w:t>
      </w:r>
    </w:p>
    <w:p>
      <w:pPr>
        <w:spacing w:after="60"/>
        <w:ind w:firstLine="567"/>
        <w:jc w:val="both"/>
      </w:pPr>
      <w:r>
        <w:rPr>
          <w:rFonts w:ascii="Arial" w:cs="Arial" w:eastAsia="Arial" w:hAnsi="Arial"/>
          <w:sz w:val="24"/>
          <w:szCs w:val="24"/>
        </w:rPr>
        <w:t xml:space="preserve">Учитывая изложенное, а также принимая во внимание вышеуказанное </w:t>
      </w:r>
      <w:r>
        <w:rPr>
          <w:rFonts w:ascii="Arial" w:cs="Arial" w:eastAsia="Arial" w:hAnsi="Arial"/>
          <w:sz w:val="24"/>
          <w:szCs w:val="24"/>
        </w:rPr>
        <w:t xml:space="preserve">Постановление</w:t>
      </w:r>
      <w:r>
        <w:rPr>
          <w:rFonts w:ascii="Arial" w:cs="Arial" w:eastAsia="Arial" w:hAnsi="Arial"/>
          <w:sz w:val="24"/>
          <w:szCs w:val="24"/>
        </w:rPr>
        <w:t xml:space="preserve"> Пленума Верховного суда Кыргызской Республики, принятое на основе правоприменительной практики, </w:t>
      </w:r>
      <w:r>
        <w:rPr>
          <w:rFonts w:ascii="Arial" w:cs="Arial" w:eastAsia="Arial" w:hAnsi="Arial"/>
          <w:sz w:val="24"/>
          <w:szCs w:val="24"/>
        </w:rPr>
        <w:t xml:space="preserve">статью 15</w:t>
      </w:r>
      <w:r>
        <w:rPr>
          <w:rFonts w:ascii="Arial" w:cs="Arial" w:eastAsia="Arial" w:hAnsi="Arial"/>
          <w:sz w:val="24"/>
          <w:szCs w:val="24"/>
        </w:rPr>
        <w:t xml:space="preserve"> </w:t>
      </w:r>
      <w:hyperlink w:history="1" r:id="rId-1hldgsj-axho7r5yr4k-">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Верховном суде Кыргызской Республики и местных судах", согласно которой Пленум Верховного суда рассматривает материалы по применению законов и иных нормативных правовых актов Кыргызской Республики местными судами, считаем целесообразным оставить данную норму без изменений.</w:t>
      </w:r>
    </w:p>
    <w:p>
      <w:pPr>
        <w:spacing w:after="60"/>
        <w:ind w:firstLine="567"/>
        <w:jc w:val="both"/>
      </w:pPr>
      <w:r>
        <w:rPr>
          <w:rFonts w:ascii="Arial" w:cs="Arial" w:eastAsia="Arial" w:hAnsi="Arial"/>
          <w:sz w:val="24"/>
          <w:szCs w:val="24"/>
        </w:rPr>
        <w:t xml:space="preserve">Относительно внесения изменения в часть 2 </w:t>
      </w:r>
      <w:r>
        <w:rPr>
          <w:rFonts w:ascii="Arial" w:cs="Arial" w:eastAsia="Arial" w:hAnsi="Arial"/>
          <w:sz w:val="24"/>
          <w:szCs w:val="24"/>
        </w:rPr>
        <w:t xml:space="preserve">статьи 18</w:t>
      </w:r>
      <w:r>
        <w:rPr>
          <w:rFonts w:ascii="Arial" w:cs="Arial" w:eastAsia="Arial" w:hAnsi="Arial"/>
          <w:sz w:val="24"/>
          <w:szCs w:val="24"/>
        </w:rPr>
        <w:t xml:space="preserve">, предусматривающего установление правил опровержения сведений, порочащих честь, достоинство и деловую репутацию гражданина, а также сведений, порочащих деловую репутацию юридического лица (публикация), сообщаем следующее.</w:t>
      </w:r>
    </w:p>
    <w:p>
      <w:pPr>
        <w:spacing w:after="60"/>
        <w:ind w:firstLine="567"/>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1</w:t>
      </w:r>
      <w:r>
        <w:rPr>
          <w:rFonts w:ascii="Arial" w:cs="Arial" w:eastAsia="Arial" w:hAnsi="Arial"/>
          <w:sz w:val="24"/>
          <w:szCs w:val="24"/>
        </w:rPr>
        <w:t xml:space="preserve"> </w:t>
      </w:r>
      <w:hyperlink w:history="1" r:id="rIdtnmjqxcdopcr6qa11zmmd">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средствах массовой информации" к средствам массовой информации относятся газеты, журналы, приложения к ним, альманахи, книги, бюллетени, разовые издания, предназначенные для публичного распространения, имеющие постоянное название, а также теле- и радиовещание, кино- и видеостудии, аудиовизуальные записи и программы, выпускаемые государственными органами, информационными агентствами, политическими, общественными и другими организациями, частными лицами.</w:t>
      </w:r>
    </w:p>
    <w:p>
      <w:pPr>
        <w:spacing w:after="60"/>
        <w:ind w:firstLine="567"/>
        <w:jc w:val="both"/>
      </w:pPr>
      <w:r>
        <w:rPr>
          <w:rFonts w:ascii="Arial" w:cs="Arial" w:eastAsia="Arial" w:hAnsi="Arial"/>
          <w:sz w:val="24"/>
          <w:szCs w:val="24"/>
        </w:rPr>
        <w:t xml:space="preserve">То есть органы публичной передачи информации являются юридическими лицами, действующими на основании своего устава. Соответственно, сеть "Интернет" не относится к средствам массовой информации.</w:t>
      </w:r>
    </w:p>
    <w:p>
      <w:pPr>
        <w:spacing w:after="60"/>
        <w:ind w:firstLine="567"/>
        <w:jc w:val="both"/>
      </w:pPr>
      <w:r>
        <w:rPr>
          <w:rFonts w:ascii="Arial" w:cs="Arial" w:eastAsia="Arial" w:hAnsi="Arial"/>
          <w:sz w:val="24"/>
          <w:szCs w:val="24"/>
        </w:rPr>
        <w:t xml:space="preserve">Кроме того, необходимо отметить, что вопрос отнесения сети "Интернет" к средствам массовой информации является спорным, поскольку появляются "новые медиа", блоггер, который ведет свою страницу в социальных сетях и может потенциально иметь аудиторию сопоставимую с аудиторией печатных средств массовой информации.</w:t>
      </w:r>
    </w:p>
    <w:p>
      <w:pPr>
        <w:spacing w:after="60"/>
        <w:ind w:firstLine="567"/>
        <w:jc w:val="both"/>
      </w:pPr>
      <w:r>
        <w:rPr>
          <w:rFonts w:ascii="Arial" w:cs="Arial" w:eastAsia="Arial" w:hAnsi="Arial"/>
          <w:sz w:val="24"/>
          <w:szCs w:val="24"/>
        </w:rPr>
        <w:t xml:space="preserve">Проектом также предлагается в отношении опровержений в сети "Интернет" помимо общедоступности и наличия ссылки на опровержение в первоначальной публикации определить, что публикация не должна быть размещена на всех интернет-сайтах, распространивших сведения, порочащих честь, достоинство и деловую репутацию гражданина, а также сведения, порочащих деловую репутацию юридического лица.</w:t>
      </w:r>
    </w:p>
    <w:p>
      <w:pPr>
        <w:spacing w:after="60"/>
        <w:ind w:firstLine="567"/>
        <w:jc w:val="both"/>
      </w:pPr>
      <w:r>
        <w:rPr>
          <w:rFonts w:ascii="Arial" w:cs="Arial" w:eastAsia="Arial" w:hAnsi="Arial"/>
          <w:sz w:val="24"/>
          <w:szCs w:val="24"/>
        </w:rPr>
        <w:t xml:space="preserve">Однако необходимо отметить, что в случае судебного рассмотрения заявления истцу необходимо указать в качестве ответчиков владельцев конкретных информационных ресурсов и доказывать в суде факт распространения оспариваемых сведений.</w:t>
      </w:r>
    </w:p>
    <w:p>
      <w:pPr>
        <w:spacing w:after="60"/>
        <w:ind w:firstLine="567"/>
        <w:jc w:val="both"/>
      </w:pPr>
      <w:r>
        <w:rPr>
          <w:rFonts w:ascii="Arial" w:cs="Arial" w:eastAsia="Arial" w:hAnsi="Arial"/>
          <w:sz w:val="24"/>
          <w:szCs w:val="24"/>
        </w:rPr>
        <w:t xml:space="preserve">Вместе с тем, согласно </w:t>
      </w:r>
      <w:r>
        <w:rPr>
          <w:rFonts w:ascii="Arial" w:cs="Arial" w:eastAsia="Arial" w:hAnsi="Arial"/>
          <w:sz w:val="24"/>
          <w:szCs w:val="24"/>
        </w:rPr>
        <w:t xml:space="preserve">статье 1</w:t>
      </w:r>
      <w:r>
        <w:rPr>
          <w:rFonts w:ascii="Arial" w:cs="Arial" w:eastAsia="Arial" w:hAnsi="Arial"/>
          <w:sz w:val="24"/>
          <w:szCs w:val="24"/>
        </w:rPr>
        <w:t xml:space="preserve"> конституционного </w:t>
      </w:r>
      <w:hyperlink w:history="1" r:id="rIdrah3yghwjpvl4lxqxp25k">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выборах Президента Кыргызской Республики и депутатов Жогорку Кенеша Кыргызской Республики", "интернет - глобальная (всемирная) компьютерная сеть (система объединенных компьютерных сетей) для хранения и передачи информации.</w:t>
      </w:r>
    </w:p>
    <w:p>
      <w:pPr>
        <w:spacing w:after="60"/>
        <w:ind w:firstLine="567"/>
        <w:jc w:val="both"/>
      </w:pPr>
      <w:r>
        <w:rPr>
          <w:rFonts w:ascii="Arial" w:cs="Arial" w:eastAsia="Arial" w:hAnsi="Arial"/>
          <w:sz w:val="24"/>
          <w:szCs w:val="24"/>
        </w:rPr>
        <w:t xml:space="preserve">Интернет-издания - интернет-сайт (портал, форум), кроме интернет-блогов и персональных страниц физических лиц в социальных сетях, содержащий материалы новостного, информационно-аналитического, развлекательного и иного характера, администрируемый в Кыргызской Республике, позволяющий свободный доступ к нему в сети интернет посетителей, если число посещений интернет-издания превышает 500 уникальных посетителей в сутки или 1000 уникальных посетителей в месяц.</w:t>
      </w:r>
    </w:p>
    <w:p>
      <w:pPr>
        <w:spacing w:after="60"/>
        <w:ind w:firstLine="567"/>
        <w:jc w:val="both"/>
      </w:pPr>
      <w:r>
        <w:rPr>
          <w:rFonts w:ascii="Arial" w:cs="Arial" w:eastAsia="Arial" w:hAnsi="Arial"/>
          <w:sz w:val="24"/>
          <w:szCs w:val="24"/>
        </w:rPr>
        <w:t xml:space="preserve">Уникальный посетитель или посетитель с уникальным IP-адресом - неповторяющийся пользователь, обладающий уникальными характеристиками и зашедший на интернет-издание в течение определенного промежутка времени.".</w:t>
      </w:r>
    </w:p>
    <w:p>
      <w:pPr>
        <w:spacing w:after="60"/>
        <w:ind w:firstLine="567"/>
        <w:jc w:val="both"/>
      </w:pPr>
      <w:r>
        <w:rPr>
          <w:rFonts w:ascii="Arial" w:cs="Arial" w:eastAsia="Arial" w:hAnsi="Arial"/>
          <w:sz w:val="24"/>
          <w:szCs w:val="24"/>
        </w:rPr>
        <w:t xml:space="preserve">В этой связи вопрос отнесения сети "Интернет" к средствам массовой информации является спорным, а также учитывая, что механизм выявления пользователей интернет ресурсов и изданий, отсутствует, то в дальнейшем это может привести к спорным моментам по выявлению авторов, опубликовавших сведения в сети "Интернет".</w:t>
      </w:r>
    </w:p>
    <w:p>
      <w:pPr>
        <w:spacing w:after="60"/>
        <w:ind w:firstLine="567"/>
        <w:jc w:val="both"/>
      </w:pPr>
      <w:r>
        <w:rPr>
          <w:rFonts w:ascii="Arial" w:cs="Arial" w:eastAsia="Arial" w:hAnsi="Arial"/>
          <w:sz w:val="24"/>
          <w:szCs w:val="24"/>
        </w:rPr>
        <w:t xml:space="preserve">Кроме того, </w:t>
      </w:r>
      <w:r>
        <w:rPr>
          <w:rFonts w:ascii="Arial" w:cs="Arial" w:eastAsia="Arial" w:hAnsi="Arial"/>
          <w:sz w:val="24"/>
          <w:szCs w:val="24"/>
        </w:rPr>
        <w:t xml:space="preserve">статьей 17</w:t>
      </w:r>
      <w:r>
        <w:rPr>
          <w:rFonts w:ascii="Arial" w:cs="Arial" w:eastAsia="Arial" w:hAnsi="Arial"/>
          <w:sz w:val="24"/>
          <w:szCs w:val="24"/>
        </w:rPr>
        <w:t xml:space="preserve"> </w:t>
      </w:r>
      <w:hyperlink w:history="1" r:id="rIdyjrozm42qxvyr7uyefb4c">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средствах массовой информации" предусмотрен порядок опровержения массовой информации, не соответствующей действительности, согласно которой гражданин или организация вправе требовать от органа средства массовой информации опровержения обнародованных сведений, не соответствующих действительности или порочащих их честь и достоинство; имеют право на публикацию своего ответа в том же средстве массовой информации.</w:t>
      </w:r>
    </w:p>
    <w:p>
      <w:pPr>
        <w:spacing w:after="60"/>
        <w:ind w:firstLine="567"/>
        <w:jc w:val="both"/>
      </w:pPr>
      <w:r>
        <w:rPr>
          <w:rFonts w:ascii="Arial" w:cs="Arial" w:eastAsia="Arial" w:hAnsi="Arial"/>
          <w:sz w:val="24"/>
          <w:szCs w:val="24"/>
        </w:rPr>
        <w:t xml:space="preserve">Согласно </w:t>
      </w:r>
      <w:r>
        <w:rPr>
          <w:rFonts w:ascii="Arial" w:cs="Arial" w:eastAsia="Arial" w:hAnsi="Arial"/>
          <w:sz w:val="24"/>
          <w:szCs w:val="24"/>
        </w:rPr>
        <w:t xml:space="preserve">статье 42</w:t>
      </w:r>
      <w:r>
        <w:rPr>
          <w:rFonts w:ascii="Arial" w:cs="Arial" w:eastAsia="Arial" w:hAnsi="Arial"/>
          <w:sz w:val="24"/>
          <w:szCs w:val="24"/>
        </w:rPr>
        <w:t xml:space="preserve"> </w:t>
      </w:r>
      <w:hyperlink w:history="1" r:id="rIdwla-kklqnoe8japaljoht">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телевидении и радиовещании" "гражданин или юридическое лицо имеют право требовать от телерадиоорганизации опровержения распространенных в ее программе либо передаче сведений, не соответствующих действительности и/или унижающих честь и достоинство лица. Опровержение должно быть распространено той же телерадиоорганизацией и в той же программе либо передаче, что и сведения, не соответствующие действительности, или в другое время по договоренности с лицом, права которого были нарушены.</w:t>
      </w:r>
    </w:p>
    <w:p>
      <w:pPr>
        <w:spacing w:after="60"/>
        <w:ind w:firstLine="567"/>
        <w:jc w:val="both"/>
      </w:pPr>
      <w:r>
        <w:rPr>
          <w:rFonts w:ascii="Arial" w:cs="Arial" w:eastAsia="Arial" w:hAnsi="Arial"/>
          <w:sz w:val="24"/>
          <w:szCs w:val="24"/>
        </w:rPr>
        <w:t xml:space="preserve">Также, в случае вынесения судом решения об опровержении, текст опровержения распространяется телерадиоорганизацией в порядке, определенном данным Законом.".</w:t>
      </w:r>
    </w:p>
    <w:p>
      <w:pPr>
        <w:spacing w:after="60"/>
        <w:ind w:firstLine="567"/>
        <w:jc w:val="both"/>
      </w:pPr>
      <w:r>
        <w:rPr>
          <w:rFonts w:ascii="Arial" w:cs="Arial" w:eastAsia="Arial" w:hAnsi="Arial"/>
          <w:sz w:val="24"/>
          <w:szCs w:val="24"/>
        </w:rPr>
        <w:t xml:space="preserve">Исходя из вышеизложенного, полагаем, что порядок опровержения сведений, порочащих честь, достоинство или деловую репутацию гражданина, а также сведений, порочащих деловую репутацию юридического лица, определен законодательными актами.</w:t>
      </w:r>
    </w:p>
    <w:p>
      <w:pPr>
        <w:spacing w:after="60"/>
        <w:ind w:firstLine="567"/>
        <w:jc w:val="both"/>
      </w:pPr>
      <w:r>
        <w:rPr>
          <w:rFonts w:ascii="Arial" w:cs="Arial" w:eastAsia="Arial" w:hAnsi="Arial"/>
          <w:sz w:val="24"/>
          <w:szCs w:val="24"/>
        </w:rPr>
        <w:t xml:space="preserve">Статьей 3 проекта Закона Правительству Кыргызской Республики, в случае принятия данного проекта, поручается привести свои нормативные правовые акты в соответствие с Законом.</w:t>
      </w:r>
    </w:p>
    <w:p>
      <w:pPr>
        <w:spacing w:after="60"/>
        <w:ind w:firstLine="567"/>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24</w:t>
      </w:r>
      <w:r>
        <w:rPr>
          <w:rFonts w:ascii="Arial" w:cs="Arial" w:eastAsia="Arial" w:hAnsi="Arial"/>
          <w:sz w:val="24"/>
          <w:szCs w:val="24"/>
        </w:rPr>
        <w:t xml:space="preserve"> </w:t>
      </w:r>
      <w:hyperlink w:history="1" r:id="rIdg-u48zblssyoz4w5ywryi">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в случаях, если для применения нормативного правового акта необходимо внесение изменений в другие нормативные правовые акты, к вносимому проекту нормативного правового акта должны быть приложены проекты нормативных правовых актов с указанными изменениями.</w:t>
      </w:r>
    </w:p>
    <w:p>
      <w:pPr>
        <w:spacing w:after="60"/>
        <w:ind w:firstLine="567"/>
        <w:jc w:val="both"/>
      </w:pPr>
      <w:r>
        <w:rPr>
          <w:rFonts w:ascii="Arial" w:cs="Arial" w:eastAsia="Arial" w:hAnsi="Arial"/>
          <w:sz w:val="24"/>
          <w:szCs w:val="24"/>
        </w:rPr>
        <w:t xml:space="preserve">Вместе с тем, информация о нормативных правовых актах, подлежащих пересмотру в случае принятия рассматриваемого проекта Закона, не отражена в справке-обосновании к законопроекту.</w:t>
      </w:r>
    </w:p>
    <w:p>
      <w:pPr>
        <w:spacing w:after="60"/>
        <w:ind w:firstLine="567"/>
        <w:jc w:val="both"/>
      </w:pPr>
      <w:r>
        <w:rPr>
          <w:rFonts w:ascii="Arial" w:cs="Arial" w:eastAsia="Arial" w:hAnsi="Arial"/>
          <w:sz w:val="24"/>
          <w:szCs w:val="24"/>
        </w:rPr>
        <w:t xml:space="preserve">На основании изложенного Правительство Кыргызской Республики считает нецелесообразным принятие данного проекта без учета вышеизложенных замечаний и предложений.</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t9ll2xuqevtkg3jwly6a">
      <w:r>
        <w:rPr>
          <w:rFonts w:ascii="Arial" w:cs="Arial" w:eastAsia="Arial" w:hAnsi="Arial"/>
          <w:color w:val="132D3F"/>
          <w:sz w:val="16"/>
          <w:szCs w:val="16"/>
          <w:u w:val="single"/>
        </w:rPr>
        <w:t xml:space="preserve">dalil.kg/document/11895</w:t>
      </w:r>
    </w:hyperlink>
  </w:p>
  <w:p>
    <w:pPr>
      <w:spacing w:after="0" w:before="40"/>
      <w:jc w:val="center"/>
    </w:pPr>
    <w:hyperlink w:history="1" r:id="rIdpk0leuqoc4ieldla4fpw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wv-tm_ow8p_p0vbvlldc" Type="http://schemas.openxmlformats.org/officeDocument/2006/relationships/hyperlink" Target="https://dalil.kg/document/203685" TargetMode="External"/><Relationship Id="rId2tuth-ne1qccdzq_yc0gf" Type="http://schemas.openxmlformats.org/officeDocument/2006/relationships/hyperlink" Target="https://dalil.kg/document/11895#p1" TargetMode="External"/><Relationship Id="rIdejojfhrpmqqqzk8zejp5h" Type="http://schemas.openxmlformats.org/officeDocument/2006/relationships/hyperlink" Target="https://dalil.kg/document/4" TargetMode="External"/><Relationship Id="rIdx9otmp6owel-oloche0vx" Type="http://schemas.openxmlformats.org/officeDocument/2006/relationships/hyperlink" Target="https://dalil.kg/document/11895" TargetMode="External"/><Relationship Id="rIdvzbp61wmzp91m36eimvyn" Type="http://schemas.openxmlformats.org/officeDocument/2006/relationships/hyperlink" Target="https://dalil.kg/document/203685" TargetMode="External"/><Relationship Id="rIdnygrw_wyqdfqyhqfld1fn" Type="http://schemas.openxmlformats.org/officeDocument/2006/relationships/hyperlink" Target="https://dalil.kg/document/4" TargetMode="External"/><Relationship Id="rIdajvk8_ccenuwd4ibjrgnt" Type="http://schemas.openxmlformats.org/officeDocument/2006/relationships/hyperlink" Target="https://dalil.kg/document/4" TargetMode="External"/><Relationship Id="rId8f8vwfngfwmxxoplftbgf" Type="http://schemas.openxmlformats.org/officeDocument/2006/relationships/hyperlink" Target="https://dalil.kg/document/4" TargetMode="External"/><Relationship Id="rIdbjl_lj4pctfzcyl-a-bkl" Type="http://schemas.openxmlformats.org/officeDocument/2006/relationships/hyperlink" Target="https://dalil.kg/document/4" TargetMode="External"/><Relationship Id="rIdwjugstgne7y68n8k4t9yw" Type="http://schemas.openxmlformats.org/officeDocument/2006/relationships/hyperlink" Target="https://dalil.kg/document/4" TargetMode="External"/><Relationship Id="rId3apdktnqgrdtqb60a4tkv" Type="http://schemas.openxmlformats.org/officeDocument/2006/relationships/hyperlink" Target="https://dalil.kg/document/111521" TargetMode="External"/><Relationship Id="rId-1hldgsj-axho7r5yr4k-" Type="http://schemas.openxmlformats.org/officeDocument/2006/relationships/hyperlink" Target="https://dalil.kg/document/1279" TargetMode="External"/><Relationship Id="rIdtnmjqxcdopcr6qa11zmmd" Type="http://schemas.openxmlformats.org/officeDocument/2006/relationships/hyperlink" Target="https://dalil.kg/document/819" TargetMode="External"/><Relationship Id="rIdrah3yghwjpvl4lxqxp25k" Type="http://schemas.openxmlformats.org/officeDocument/2006/relationships/hyperlink" Target="https://dalil.kg/document/203244" TargetMode="External"/><Relationship Id="rIdyjrozm42qxvyr7uyefb4c" Type="http://schemas.openxmlformats.org/officeDocument/2006/relationships/hyperlink" Target="https://dalil.kg/document/819" TargetMode="External"/><Relationship Id="rIdwla-kklqnoe8japaljoht" Type="http://schemas.openxmlformats.org/officeDocument/2006/relationships/hyperlink" Target="https://dalil.kg/document/202317" TargetMode="External"/><Relationship Id="rIdg-u48zblssyoz4w5ywryi"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2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t9ll2xuqevtkg3jwly6a" Type="http://schemas.openxmlformats.org/officeDocument/2006/relationships/hyperlink" Target="https://dalil.kg/document/11895" TargetMode="External"/><Relationship Id="rIdpk0leuqoc4ieldla4fpw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2026-10-02T21:31:25.182Z</dcterms:created>
  <dcterms:modified xsi:type="dcterms:W3CDTF">2026-10-02T21:31:25.182Z</dcterms:modified>
</cp:coreProperties>
</file>

<file path=docProps/custom.xml><?xml version="1.0" encoding="utf-8"?>
<Properties xmlns="http://schemas.openxmlformats.org/officeDocument/2006/custom-properties" xmlns:vt="http://schemas.openxmlformats.org/officeDocument/2006/docPropsVTypes"/>
</file>