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июня 2018 года № 283</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bhj7fctxwsa76wcnmj85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wxzthw5eikqhtybgdggnd">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xcnufzavw1yixsxztem_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Турускуловым Ж.К., Омуркуловым И.Ш., Аманкуловым М.А., Сарсейитовым И.З., Примовым У.Б., Самигулиной А.Э., Акаевым Ж.К., Строковой Е.Г., Токторовым А.С., Никитенко Н.В., Жамангуловым А.Ж., Исмаиловой А.Ж., Кодурановой А.С., Керезбековым К.К., Баатырбековым А.Б., Нурбаевым А.М., Касымалиевой А.К., Каримовым Н.Т., Тиллаевым Т.Г., Бакировым М.И., Сулаймановым А.Т., Шыкмаматовым А.Н., Момбековым Р.Ч.</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pqlw1ug90ddff8mifue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июня 2018 года № 283</w:t>
      </w:r>
    </w:p>
    <w:p>
      <w:pPr>
        <w:spacing w:after="400" w:before="400"/>
        <w:jc w:val="center"/>
      </w:pPr>
      <w:r>
        <w:rPr>
          <w:rFonts w:ascii="Arial" w:cs="Arial" w:eastAsia="Arial" w:hAnsi="Arial"/>
          <w:b/>
          <w:bCs/>
          <w:sz w:val="24"/>
          <w:szCs w:val="24"/>
        </w:rPr>
        <w:t xml:space="preserve">ЗАКЛЮЧЕНИЕ</w:t>
      </w:r>
      <w:r>
        <w:rPr>
          <w:rFonts w:ascii="Arial" w:cs="Arial" w:eastAsia="Arial" w:hAnsi="Arial"/>
          <w:sz w:val="24"/>
          <w:szCs w:val="24"/>
        </w:rPr>
        <w:t xml:space="preserve"> </w:t>
      </w:r>
      <w:r>
        <w:rPr>
          <w:rFonts w:ascii="Arial" w:cs="Arial" w:eastAsia="Arial" w:hAnsi="Arial"/>
          <w:b/>
          <w:bCs/>
          <w:sz w:val="24"/>
          <w:szCs w:val="24"/>
        </w:rPr>
        <w:t xml:space="preserve">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ri5bjv2jf3by2uectsdh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j3uqra35op445rctictq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депутатом Жогорку Кенеша Кыргызской Республики Турускуловым Ж.К., Омуркуловым И.Ш., Аманкуловым М.А., Сарсейитовым И.З., Примовым У.Б., Самигулиной А.Э., Акаевым Ж.К., Строковой Е.Г., Токторовым А.С., Никитенко Н.В., Жамангуловым А.Ж., Исмаиловой А.Ж., Кодурановой А.С., Керезбековым К.К., Баатырбековым А.Б., Нурбаевым А.М., Касымалиевой А.К., Каримовым Н.Т., Тиллаевым Т.Г., Бакировым М.И., Сулаймановым А.Т., Шыкмаматовым А.Н., Момбековым Р.Ч., приходит к следующему заключению.</w:t>
      </w:r>
    </w:p>
    <w:p>
      <w:pPr>
        <w:spacing w:after="60"/>
        <w:ind w:firstLine="567"/>
        <w:jc w:val="both"/>
      </w:pPr>
      <w:r>
        <w:rPr>
          <w:rFonts w:ascii="Arial" w:cs="Arial" w:eastAsia="Arial" w:hAnsi="Arial"/>
          <w:sz w:val="24"/>
          <w:szCs w:val="24"/>
        </w:rPr>
        <w:t xml:space="preserve">1. Подпунктом "а" пункта 1 статьи 1 проекта Закона предлагается внести изменения в </w:t>
      </w:r>
      <w:r>
        <w:rPr>
          <w:rFonts w:ascii="Arial" w:cs="Arial" w:eastAsia="Arial" w:hAnsi="Arial"/>
          <w:sz w:val="24"/>
          <w:szCs w:val="24"/>
        </w:rPr>
        <w:t xml:space="preserve">статью 38</w:t>
      </w:r>
      <w:r>
        <w:rPr>
          <w:rFonts w:ascii="Arial" w:cs="Arial" w:eastAsia="Arial" w:hAnsi="Arial"/>
          <w:sz w:val="24"/>
          <w:szCs w:val="24"/>
        </w:rPr>
        <w:t xml:space="preserve"> </w:t>
      </w:r>
      <w:hyperlink w:history="1" r:id="rIdpy456caymeyh1maibpo9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в соответствии с которым слова "Министерства обороны Кыргызской Республики" заменяются словами ", уполномоченного государственного органа в сфере обороны и Министерства иностранных дел Кыргызской Республики".</w:t>
      </w:r>
    </w:p>
    <w:p>
      <w:pPr>
        <w:spacing w:after="60"/>
        <w:ind w:firstLine="567"/>
        <w:jc w:val="both"/>
      </w:pPr>
      <w:r>
        <w:rPr>
          <w:rFonts w:ascii="Arial" w:cs="Arial" w:eastAsia="Arial" w:hAnsi="Arial"/>
          <w:sz w:val="24"/>
          <w:szCs w:val="24"/>
        </w:rPr>
        <w:t xml:space="preserve">Вместе с тем отмечаем, что согласно </w:t>
      </w:r>
      <w:r>
        <w:rPr>
          <w:rFonts w:ascii="Arial" w:cs="Arial" w:eastAsia="Arial" w:hAnsi="Arial"/>
          <w:sz w:val="24"/>
          <w:szCs w:val="24"/>
        </w:rPr>
        <w:t xml:space="preserve">статье 22</w:t>
      </w:r>
      <w:r>
        <w:rPr>
          <w:rFonts w:ascii="Arial" w:cs="Arial" w:eastAsia="Arial" w:hAnsi="Arial"/>
          <w:sz w:val="24"/>
          <w:szCs w:val="24"/>
        </w:rPr>
        <w:t xml:space="preserve"> </w:t>
      </w:r>
      <w:hyperlink w:history="1" r:id="rIdagtwmjlslmckpssnfiur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министры, председатели государственных комитетов, осуществляют реализацию государственной политики в соответствующих сферах.</w:t>
      </w:r>
    </w:p>
    <w:p>
      <w:pPr>
        <w:spacing w:after="60"/>
        <w:ind w:firstLine="567"/>
        <w:jc w:val="both"/>
      </w:pPr>
      <w:r>
        <w:rPr>
          <w:rFonts w:ascii="Arial" w:cs="Arial" w:eastAsia="Arial" w:hAnsi="Arial"/>
          <w:sz w:val="24"/>
          <w:szCs w:val="24"/>
        </w:rPr>
        <w:t xml:space="preserve">При этом следует учесть, что в ходе деятельности Правительства его структура и состав, в том числе названия государственных органов исполнительной власти могут быть изменены, что потребует внесения соответствующих поправок в законы.</w:t>
      </w:r>
    </w:p>
    <w:p>
      <w:pPr>
        <w:spacing w:after="60"/>
        <w:ind w:firstLine="567"/>
        <w:jc w:val="both"/>
      </w:pPr>
      <w:r>
        <w:rPr>
          <w:rFonts w:ascii="Arial" w:cs="Arial" w:eastAsia="Arial" w:hAnsi="Arial"/>
          <w:sz w:val="24"/>
          <w:szCs w:val="24"/>
        </w:rPr>
        <w:t xml:space="preserve">В этой связи предлагаем проектом Закона обозначить не наименование государственных органов, а указать их сферу деятельности по реализации государственной политики в соответствующих областях.</w:t>
      </w:r>
    </w:p>
    <w:p>
      <w:pPr>
        <w:spacing w:after="60"/>
        <w:ind w:firstLine="567"/>
        <w:jc w:val="both"/>
      </w:pPr>
      <w:r>
        <w:rPr>
          <w:rFonts w:ascii="Arial" w:cs="Arial" w:eastAsia="Arial" w:hAnsi="Arial"/>
          <w:sz w:val="24"/>
          <w:szCs w:val="24"/>
        </w:rPr>
        <w:t xml:space="preserve">В связи с этим подпункт "а" пункта 1 названной статьи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"Руководитель государственного высшего учебного заведения (ректор), за исключением руководителей специализированных государственных высших учебных заведений уполномоченного государственного органа в сфере внутренних дел Кыргызской Республики, уполномоченного государственного органа в сфере обороны Кыргызской Республики и уполномоченного государственного органа в сфере внешней политики Кыргызской Республики, избирается на общем собрании коллектива государственного высшего учебного заведения на альтернативной основе, из числа специалистов, имеющих ученую степень и звание, а также соответствующую квалификацию, тайным голосованием простым большинством голосов.".</w:t>
      </w:r>
    </w:p>
    <w:p>
      <w:pPr>
        <w:spacing w:after="60"/>
        <w:ind w:firstLine="567"/>
        <w:jc w:val="both"/>
      </w:pPr>
      <w:r>
        <w:rPr>
          <w:rFonts w:ascii="Arial" w:cs="Arial" w:eastAsia="Arial" w:hAnsi="Arial"/>
          <w:sz w:val="24"/>
          <w:szCs w:val="24"/>
        </w:rPr>
        <w:t xml:space="preserve">2. Подпунктом "б" пункта 1 статьи 1 проекта Закона указывается, что избранным считается кандидат, набравший свыше пятидесяти процентов голосов от числа принявших участие в выборах руководителя государственного высшего учебного заведения. В случае, если ни один из кандидатов не набрал необходимого количества голосов, проводится повторное голосование, в котором участвуют два кандидата, набравшие наибольшее количество голосов.</w:t>
      </w:r>
    </w:p>
    <w:p>
      <w:pPr>
        <w:spacing w:after="60"/>
        <w:ind w:firstLine="567"/>
        <w:jc w:val="both"/>
      </w:pPr>
      <w:r>
        <w:rPr>
          <w:rFonts w:ascii="Arial" w:cs="Arial" w:eastAsia="Arial" w:hAnsi="Arial"/>
          <w:sz w:val="24"/>
          <w:szCs w:val="24"/>
        </w:rPr>
        <w:t xml:space="preserve">При этом следует отметить, что в правоприменительной практике могут быть случаи, когда на выборах руководителя государственных высших учебных заведениях могут принимать участие только два кандидата, которые в процессе голосования не смогли набрать необходимое количество голосов.</w:t>
      </w:r>
    </w:p>
    <w:p>
      <w:pPr>
        <w:spacing w:after="60"/>
        <w:ind w:firstLine="567"/>
        <w:jc w:val="both"/>
      </w:pPr>
      <w:r>
        <w:rPr>
          <w:rFonts w:ascii="Arial" w:cs="Arial" w:eastAsia="Arial" w:hAnsi="Arial"/>
          <w:sz w:val="24"/>
          <w:szCs w:val="24"/>
        </w:rPr>
        <w:t xml:space="preserve">На основании вышеизложенного, во избежание неясностей и спорных ситуаций в правоприменительной практике предлагаем подпункт "б" пункта 1 статьи 1 проекта Закона изложить в следующей редакции:</w:t>
      </w:r>
    </w:p>
    <w:p>
      <w:pPr>
        <w:spacing w:after="60"/>
        <w:ind w:firstLine="567"/>
        <w:jc w:val="both"/>
      </w:pPr>
      <w:r>
        <w:rPr>
          <w:rFonts w:ascii="Arial" w:cs="Arial" w:eastAsia="Arial" w:hAnsi="Arial"/>
          <w:sz w:val="24"/>
          <w:szCs w:val="24"/>
        </w:rPr>
        <w:t xml:space="preserve">"Избранным считается кандидат, набравший свыше пятидесяти процентов голосов от числа принявших участие в выборах руководителя государственного высшего учебного заведения. Если в выборах участвуют более двух кандидатов на должность руководителя государственного высшего учебного заведения и ни один из них не был избран, назначается повторное голосование по двум кандидатам, получившим наибольшее количество голосов. Избранным считается кандидат, получивший свыше пятидесяти процентов голосов от числа принявших участие в повторном голосовании. Избранный кандидат утверждается в должности руководителя государственного высшего учебного заведения Премьер-министром Кыргызской Республики в течение десяти рабочих дней после проведения выборов.</w:t>
      </w:r>
    </w:p>
    <w:p>
      <w:pPr>
        <w:spacing w:after="60"/>
        <w:ind w:firstLine="567"/>
        <w:jc w:val="both"/>
      </w:pPr>
      <w:r>
        <w:rPr>
          <w:rFonts w:ascii="Arial" w:cs="Arial" w:eastAsia="Arial" w:hAnsi="Arial"/>
          <w:sz w:val="24"/>
          <w:szCs w:val="24"/>
        </w:rPr>
        <w:t xml:space="preserve">Выборы руководителя государственного высшего учебного заведения признаются не состоявшимися в следующих случаях:</w:t>
      </w:r>
    </w:p>
    <w:p>
      <w:pPr>
        <w:spacing w:after="60"/>
        <w:ind w:firstLine="567"/>
        <w:jc w:val="both"/>
      </w:pPr>
      <w:r>
        <w:rPr>
          <w:rFonts w:ascii="Arial" w:cs="Arial" w:eastAsia="Arial" w:hAnsi="Arial"/>
          <w:sz w:val="24"/>
          <w:szCs w:val="24"/>
        </w:rPr>
        <w:t xml:space="preserve">- если в выборах участвовали два кандидата и ни один из них не получил свыше пятидесяти процентов голосов от числа принявших участие в выборах;</w:t>
      </w:r>
    </w:p>
    <w:p>
      <w:pPr>
        <w:spacing w:after="60"/>
        <w:ind w:firstLine="567"/>
        <w:jc w:val="both"/>
      </w:pPr>
      <w:r>
        <w:rPr>
          <w:rFonts w:ascii="Arial" w:cs="Arial" w:eastAsia="Arial" w:hAnsi="Arial"/>
          <w:sz w:val="24"/>
          <w:szCs w:val="24"/>
        </w:rPr>
        <w:t xml:space="preserve">- если все кандидаты выбыли до проведения повторного голосования;</w:t>
      </w:r>
    </w:p>
    <w:p>
      <w:pPr>
        <w:spacing w:after="60"/>
        <w:ind w:firstLine="567"/>
        <w:jc w:val="both"/>
      </w:pPr>
      <w:r>
        <w:rPr>
          <w:rFonts w:ascii="Arial" w:cs="Arial" w:eastAsia="Arial" w:hAnsi="Arial"/>
          <w:sz w:val="24"/>
          <w:szCs w:val="24"/>
        </w:rPr>
        <w:t xml:space="preserve">- если при повторном голосовании не один из кандидатов не получил свыше пятидесяти процентов голосов от числа принявших участие в повторном голосовании.</w:t>
      </w:r>
    </w:p>
    <w:p>
      <w:pPr>
        <w:spacing w:after="60"/>
        <w:ind w:firstLine="567"/>
        <w:jc w:val="both"/>
      </w:pPr>
      <w:r>
        <w:rPr>
          <w:rFonts w:ascii="Arial" w:cs="Arial" w:eastAsia="Arial" w:hAnsi="Arial"/>
          <w:sz w:val="24"/>
          <w:szCs w:val="24"/>
        </w:rPr>
        <w:t xml:space="preserve">Выборы руководителя государственного высшего учебного заведения признаются недействительными:</w:t>
      </w:r>
    </w:p>
    <w:p>
      <w:pPr>
        <w:spacing w:after="60"/>
        <w:ind w:firstLine="567"/>
        <w:jc w:val="both"/>
      </w:pPr>
      <w:r>
        <w:rPr>
          <w:rFonts w:ascii="Arial" w:cs="Arial" w:eastAsia="Arial" w:hAnsi="Arial"/>
          <w:sz w:val="24"/>
          <w:szCs w:val="24"/>
        </w:rPr>
        <w:t xml:space="preserve">- в случае нарушения порядка проведения выборов;</w:t>
      </w:r>
    </w:p>
    <w:p>
      <w:pPr>
        <w:spacing w:after="60"/>
        <w:ind w:firstLine="567"/>
        <w:jc w:val="both"/>
      </w:pPr>
      <w:r>
        <w:rPr>
          <w:rFonts w:ascii="Arial" w:cs="Arial" w:eastAsia="Arial" w:hAnsi="Arial"/>
          <w:sz w:val="24"/>
          <w:szCs w:val="24"/>
        </w:rPr>
        <w:t xml:space="preserve">- по решению суда.</w:t>
      </w:r>
    </w:p>
    <w:p>
      <w:pPr>
        <w:spacing w:after="60"/>
        <w:ind w:firstLine="567"/>
        <w:jc w:val="both"/>
      </w:pPr>
      <w:r>
        <w:rPr>
          <w:rFonts w:ascii="Arial" w:cs="Arial" w:eastAsia="Arial" w:hAnsi="Arial"/>
          <w:sz w:val="24"/>
          <w:szCs w:val="24"/>
        </w:rPr>
        <w:t xml:space="preserve">Порядок проведения выборов руководителей государственных высших учебных заведений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Абзацем вторым статьи 2 проекта Закона Правительству Кыргызской Республики поручается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В связи с этим отмечаем, что в случае принятия данного проекта Закона Правительству Кыргызской Республики потребуется время для приведения своих нормативных правовых актов в соответствие с нормами принятого Закона, с учетом требований, установленных </w:t>
      </w:r>
      <w:hyperlink w:history="1" r:id="rId6slrl6ciiavah-psowwe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включая процедуру проведения общественного обсуждения, согласования с государственными органами и иными заинтересованными организациями.</w:t>
      </w:r>
    </w:p>
    <w:p>
      <w:pPr>
        <w:spacing w:after="60"/>
        <w:ind w:firstLine="567"/>
        <w:jc w:val="both"/>
      </w:pPr>
      <w:r>
        <w:rPr>
          <w:rFonts w:ascii="Arial" w:cs="Arial" w:eastAsia="Arial" w:hAnsi="Arial"/>
          <w:sz w:val="24"/>
          <w:szCs w:val="24"/>
        </w:rPr>
        <w:t xml:space="preserve">В связи с этим абзац второй статьи 2 проекта Закона после слов "Правительству Кыргызской Республики" предлагаем дополнить словами "в шестимесячный срок".</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вышеуказанного проекта Закона с учетом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uh-ktnk3ioupxw_dx6vg">
      <w:r>
        <w:rPr>
          <w:rFonts w:ascii="Arial" w:cs="Arial" w:eastAsia="Arial" w:hAnsi="Arial"/>
          <w:color w:val="132D3F"/>
          <w:sz w:val="16"/>
          <w:szCs w:val="16"/>
          <w:u w:val="single"/>
        </w:rPr>
        <w:t xml:space="preserve">dalil.kg/document/11914</w:t>
      </w:r>
    </w:hyperlink>
  </w:p>
  <w:p>
    <w:pPr>
      <w:spacing w:after="0" w:before="40"/>
      <w:jc w:val="center"/>
    </w:pPr>
    <w:hyperlink w:history="1" r:id="rIdbwfrmh_45ha_a3rzeu2k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hj7fctxwsa76wcnmj85t" Type="http://schemas.openxmlformats.org/officeDocument/2006/relationships/hyperlink" Target="https://dalil.kg/document/203685" TargetMode="External"/><Relationship Id="rIdwxzthw5eikqhtybgdggnd" Type="http://schemas.openxmlformats.org/officeDocument/2006/relationships/hyperlink" Target="https://dalil.kg/document/11914#p1" TargetMode="External"/><Relationship Id="rIdxcnufzavw1yixsxztem_h" Type="http://schemas.openxmlformats.org/officeDocument/2006/relationships/hyperlink" Target="https://dalil.kg/document/1216" TargetMode="External"/><Relationship Id="rIdpqlw1ug90ddff8mifuev-" Type="http://schemas.openxmlformats.org/officeDocument/2006/relationships/hyperlink" Target="https://dalil.kg/document/11914" TargetMode="External"/><Relationship Id="rIdri5bjv2jf3by2uectsdhd" Type="http://schemas.openxmlformats.org/officeDocument/2006/relationships/hyperlink" Target="https://dalil.kg/document/203685" TargetMode="External"/><Relationship Id="rIdj3uqra35op445rctictqf" Type="http://schemas.openxmlformats.org/officeDocument/2006/relationships/hyperlink" Target="https://dalil.kg/document/1216" TargetMode="External"/><Relationship Id="rIdpy456caymeyh1maibpo9s" Type="http://schemas.openxmlformats.org/officeDocument/2006/relationships/hyperlink" Target="https://dalil.kg/document/1216" TargetMode="External"/><Relationship Id="rIdagtwmjlslmckpssnfiurr" Type="http://schemas.openxmlformats.org/officeDocument/2006/relationships/hyperlink" Target="https://dalil.kg/document/203685" TargetMode="External"/><Relationship Id="rId6slrl6ciiavah-psowwe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uh-ktnk3ioupxw_dx6vg" Type="http://schemas.openxmlformats.org/officeDocument/2006/relationships/hyperlink" Target="https://dalil.kg/document/11914" TargetMode="External"/><Relationship Id="rIdbwfrmh_45ha_a3rzeu2k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2026-10-02T16:08:10.105Z</dcterms:created>
  <dcterms:modified xsi:type="dcterms:W3CDTF">2026-10-02T16:08:10.105Z</dcterms:modified>
</cp:coreProperties>
</file>

<file path=docProps/custom.xml><?xml version="1.0" encoding="utf-8"?>
<Properties xmlns="http://schemas.openxmlformats.org/officeDocument/2006/custom-properties" xmlns:vt="http://schemas.openxmlformats.org/officeDocument/2006/docPropsVTypes"/>
</file>