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8fnwupopt73otkusq8gy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ПОЛОЖЕНИЕ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sybxgu_6ypp6zn4vgut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определяет порядок работы веб-портала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2. Веб-портал государственных грантов на финансирование общественно-полезных проектов (далее - портал государственных грантов) представляет собой информационно-сервисный мультимедийный централизованный Интернет-ресурс, размещенный в сети Интернет по адресу http://vww.gosgrantynasotsproekty.gov.kg.</w:t>
      </w:r>
    </w:p>
    <w:p>
      <w:pPr>
        <w:spacing w:after="120"/>
        <w:jc w:val="both"/>
      </w:pPr>
      <w:r>
        <w:rPr>
          <w:rFonts w:ascii="Arial" w:cs="Arial" w:eastAsia="Arial" w:hAnsi="Arial"/>
          <w:sz w:val="24"/>
          <w:szCs w:val="24"/>
        </w:rPr>
        <w:t xml:space="preserve">3. Интерфейс портала государственных грантов представляет собой сводную таблицу, позволяющую заинтересованным лицам получить на одной строке портала всю необходимую информацию о той или иной социальной программе, согласно которой выделены государственные гранты на финансирование общественно полезных проектов, от момента объявления конкурса до завершения реализации общественно полезных проектов победителями конкурса.</w:t>
      </w:r>
    </w:p>
    <w:p>
      <w:pPr>
        <w:spacing w:after="120"/>
        <w:jc w:val="both"/>
      </w:pPr>
      <w:r>
        <w:rPr>
          <w:rFonts w:ascii="Arial" w:cs="Arial" w:eastAsia="Arial" w:hAnsi="Arial"/>
          <w:sz w:val="24"/>
          <w:szCs w:val="24"/>
        </w:rPr>
        <w:t xml:space="preserve">4. Примерный образец интерфейса портала государственных грантов приведен в </w:t>
      </w:r>
      <w:hyperlink w:history="1" r:id="rId0nnlzrnckbagizqs2tep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 Переход на другие страницы портала государственных грантов для получения дополнительной информации обеспечивается при помощи активных гиперссылок, расположенных в соответствующих колонках портала.</w:t>
      </w:r>
    </w:p>
    <w:p>
      <w:pPr>
        <w:spacing w:after="120"/>
        <w:jc w:val="both"/>
      </w:pPr>
      <w:r>
        <w:rPr>
          <w:rFonts w:ascii="Arial" w:cs="Arial" w:eastAsia="Arial" w:hAnsi="Arial"/>
          <w:sz w:val="24"/>
          <w:szCs w:val="24"/>
        </w:rPr>
        <w:t xml:space="preserve">2. Цели создания портала государственных грантов</w:t>
      </w:r>
    </w:p>
    <w:p>
      <w:pPr>
        <w:spacing w:after="120"/>
        <w:jc w:val="both"/>
      </w:pPr>
      <w:r>
        <w:rPr>
          <w:rFonts w:ascii="Arial" w:cs="Arial" w:eastAsia="Arial" w:hAnsi="Arial"/>
          <w:sz w:val="24"/>
          <w:szCs w:val="24"/>
        </w:rPr>
        <w:t xml:space="preserve">6. Портал государственных грантов создан в следующих целях:</w:t>
      </w:r>
    </w:p>
    <w:p>
      <w:pPr>
        <w:spacing w:after="120"/>
        <w:jc w:val="both"/>
      </w:pPr>
      <w:r>
        <w:rPr>
          <w:rFonts w:ascii="Arial" w:cs="Arial" w:eastAsia="Arial" w:hAnsi="Arial"/>
          <w:sz w:val="24"/>
          <w:szCs w:val="24"/>
        </w:rPr>
        <w:t xml:space="preserve">1) эффективная организация конкурса общественно полезных проектов, финансируемых из государственного (республиканского и местных) бюджета;</w:t>
      </w:r>
    </w:p>
    <w:p>
      <w:pPr>
        <w:spacing w:after="120"/>
        <w:jc w:val="both"/>
      </w:pPr>
      <w:r>
        <w:rPr>
          <w:rFonts w:ascii="Arial" w:cs="Arial" w:eastAsia="Arial" w:hAnsi="Arial"/>
          <w:sz w:val="24"/>
          <w:szCs w:val="24"/>
        </w:rPr>
        <w:t xml:space="preserve">2) обеспечение открытого доступа к информации о государственных (республиканских и муниципальных) грантах на финансирование общественно полезных проектов для всех заинтересованных лиц;</w:t>
      </w:r>
    </w:p>
    <w:p>
      <w:pPr>
        <w:spacing w:after="120"/>
        <w:jc w:val="both"/>
      </w:pPr>
      <w:r>
        <w:rPr>
          <w:rFonts w:ascii="Arial" w:cs="Arial" w:eastAsia="Arial" w:hAnsi="Arial"/>
          <w:sz w:val="24"/>
          <w:szCs w:val="24"/>
        </w:rPr>
        <w:t xml:space="preserve">3) обеспечение прозрачности при реализации государственного социального заказа, в том числе при проведении конкурсов общественно полезных проектов;</w:t>
      </w:r>
    </w:p>
    <w:p>
      <w:pPr>
        <w:spacing w:after="120"/>
        <w:jc w:val="both"/>
      </w:pPr>
      <w:r>
        <w:rPr>
          <w:rFonts w:ascii="Arial" w:cs="Arial" w:eastAsia="Arial" w:hAnsi="Arial"/>
          <w:sz w:val="24"/>
          <w:szCs w:val="24"/>
        </w:rPr>
        <w:t xml:space="preserve">4) обеспечение доступа общественности к информации о:</w:t>
      </w:r>
    </w:p>
    <w:p>
      <w:pPr>
        <w:spacing w:after="120"/>
        <w:jc w:val="both"/>
      </w:pPr>
      <w:r>
        <w:rPr>
          <w:rFonts w:ascii="Arial" w:cs="Arial" w:eastAsia="Arial" w:hAnsi="Arial"/>
          <w:sz w:val="24"/>
          <w:szCs w:val="24"/>
        </w:rPr>
        <w:t xml:space="preserve">1) социальных программах, реализуемых государственными и муниципальными органами;</w:t>
      </w:r>
    </w:p>
    <w:p>
      <w:pPr>
        <w:spacing w:after="120"/>
        <w:jc w:val="both"/>
      </w:pPr>
      <w:r>
        <w:rPr>
          <w:rFonts w:ascii="Arial" w:cs="Arial" w:eastAsia="Arial" w:hAnsi="Arial"/>
          <w:sz w:val="24"/>
          <w:szCs w:val="24"/>
        </w:rPr>
        <w:t xml:space="preserve">2) конкурсах на финансирование общественно полезных проектов, в том числе о темах, сроках, порядке их проведения;</w:t>
      </w:r>
    </w:p>
    <w:p>
      <w:pPr>
        <w:spacing w:after="120"/>
        <w:jc w:val="both"/>
      </w:pPr>
      <w:r>
        <w:rPr>
          <w:rFonts w:ascii="Arial" w:cs="Arial" w:eastAsia="Arial" w:hAnsi="Arial"/>
          <w:sz w:val="24"/>
          <w:szCs w:val="24"/>
        </w:rPr>
        <w:t xml:space="preserve">3) участниках и победителях конкурсов;</w:t>
      </w:r>
    </w:p>
    <w:p>
      <w:pPr>
        <w:spacing w:after="120"/>
        <w:jc w:val="both"/>
      </w:pPr>
      <w:r>
        <w:rPr>
          <w:rFonts w:ascii="Arial" w:cs="Arial" w:eastAsia="Arial" w:hAnsi="Arial"/>
          <w:sz w:val="24"/>
          <w:szCs w:val="24"/>
        </w:rPr>
        <w:t xml:space="preserve">4) ходе реализации общественно-полезных проектов;</w:t>
      </w:r>
    </w:p>
    <w:p>
      <w:pPr>
        <w:spacing w:after="120"/>
        <w:jc w:val="both"/>
      </w:pPr>
      <w:r>
        <w:rPr>
          <w:rFonts w:ascii="Arial" w:cs="Arial" w:eastAsia="Arial" w:hAnsi="Arial"/>
          <w:sz w:val="24"/>
          <w:szCs w:val="24"/>
        </w:rPr>
        <w:t xml:space="preserve">5) любой другой информации, касающейся реализации социальных проектов, финансируемых из государственного бюджета;</w:t>
      </w:r>
    </w:p>
    <w:p>
      <w:pPr>
        <w:spacing w:after="120"/>
        <w:jc w:val="both"/>
      </w:pPr>
      <w:r>
        <w:rPr>
          <w:rFonts w:ascii="Arial" w:cs="Arial" w:eastAsia="Arial" w:hAnsi="Arial"/>
          <w:sz w:val="24"/>
          <w:szCs w:val="24"/>
        </w:rPr>
        <w:t xml:space="preserve">5) повышение качества услуг, оказываемых в рамках государственного социального заказа;</w:t>
      </w:r>
    </w:p>
    <w:p>
      <w:pPr>
        <w:spacing w:after="120"/>
        <w:jc w:val="both"/>
      </w:pPr>
      <w:r>
        <w:rPr>
          <w:rFonts w:ascii="Arial" w:cs="Arial" w:eastAsia="Arial" w:hAnsi="Arial"/>
          <w:sz w:val="24"/>
          <w:szCs w:val="24"/>
        </w:rPr>
        <w:t xml:space="preserve">6) осуществление эффективного общественного мониторинга использования средств, выделяемых на реализацию государственного социального заказа из республиканского и местных бюджетов;</w:t>
      </w:r>
    </w:p>
    <w:p>
      <w:pPr>
        <w:spacing w:after="120"/>
        <w:jc w:val="both"/>
      </w:pPr>
      <w:r>
        <w:rPr>
          <w:rFonts w:ascii="Arial" w:cs="Arial" w:eastAsia="Arial" w:hAnsi="Arial"/>
          <w:sz w:val="24"/>
          <w:szCs w:val="24"/>
        </w:rPr>
        <w:t xml:space="preserve">7) оценка соответствия качества услуг, оказываемых в рамках государственного социального заказа, требованиям минимальных социальных стандартов и иным требованиям, установленным государственным заказчиком.</w:t>
      </w:r>
    </w:p>
    <w:p>
      <w:pPr>
        <w:spacing w:after="120"/>
        <w:jc w:val="both"/>
      </w:pPr>
      <w:r>
        <w:rPr>
          <w:rFonts w:ascii="Arial" w:cs="Arial" w:eastAsia="Arial" w:hAnsi="Arial"/>
          <w:sz w:val="24"/>
          <w:szCs w:val="24"/>
        </w:rPr>
        <w:t xml:space="preserve">3. Объявление конкурса о предоставлении грантов на финансирование общественно полезных проектов</w:t>
      </w:r>
    </w:p>
    <w:p>
      <w:pPr>
        <w:spacing w:after="120"/>
        <w:jc w:val="both"/>
      </w:pPr>
      <w:r>
        <w:rPr>
          <w:rFonts w:ascii="Arial" w:cs="Arial" w:eastAsia="Arial" w:hAnsi="Arial"/>
          <w:sz w:val="24"/>
          <w:szCs w:val="24"/>
        </w:rPr>
        <w:t xml:space="preserve">7.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8. Объявление о конкурсе на финансирование общественно полезных проектов публикуется государственным заказчиком (помимо других способов, указанных в пункте 1 части 1 статьи 17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социальном заказе") на портале государственных грантов через соответствующую гиперссылку, размещаемую в колонке № 2 портала. Примерная форма объявления о конкурсе на финансирование общественно полезных проектов приведена в </w:t>
      </w:r>
      <w:hyperlink w:history="1" r:id="rIdetbtd38jdptvfmrr5hbx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Подача заявлений, проектных предложений и их оценка</w:t>
      </w:r>
    </w:p>
    <w:p>
      <w:pPr>
        <w:spacing w:after="120"/>
        <w:jc w:val="both"/>
      </w:pPr>
      <w:r>
        <w:rPr>
          <w:rFonts w:ascii="Arial" w:cs="Arial" w:eastAsia="Arial" w:hAnsi="Arial"/>
          <w:sz w:val="24"/>
          <w:szCs w:val="24"/>
        </w:rPr>
        <w:t xml:space="preserve">9. Посредством портала государственных грантов заинтересованные организации могут подать заявление для участия в конкурсе и проектное предложение в режиме онлайн. Образец страницы, открывающейся при нажатии на гиперссылку в колонке № 3 "Для подачи заявления нажмите здесь", приведен в </w:t>
      </w:r>
      <w:hyperlink w:history="1" r:id="rIdlzbjh0psyhzqpqmueilz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Государственный заказчик в объявлении о конкурсе указывает срок для подачи заявления для участия в конкурсе, который не может быть менее 30 и более 40 календарных дней со дня объявления конкурса на реализацию общественно полезных проектов. После истечения данного срока портал государственных грантов не принимает заявления для участия в конкурсе.</w:t>
      </w:r>
    </w:p>
    <w:p>
      <w:pPr>
        <w:spacing w:after="120"/>
        <w:jc w:val="both"/>
      </w:pPr>
      <w:r>
        <w:rPr>
          <w:rFonts w:ascii="Arial" w:cs="Arial" w:eastAsia="Arial" w:hAnsi="Arial"/>
          <w:sz w:val="24"/>
          <w:szCs w:val="24"/>
        </w:rPr>
        <w:t xml:space="preserve">11. Государственный заказчик в колонке № 4 портала государственных грантов размещает информацию о времени и дате вскрытия проектных предложений. При наступлении этого времени грантовая комиссия вскрывает поступившие проектные предложения и осуществляет их оценку в порядке, предусмотренном </w:t>
      </w:r>
      <w:hyperlink w:history="1" r:id="rId6olp1tz0pvzbgco0xsyt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12. Через гиперссылку "Посмотреть список участников и проектные предложения" в колонке № 4 портала государственных грантов все желающие могут увидеть список участников конкурса. Образец страницы, открывающейся при нажатии на данную гиперссылку, приведен в </w:t>
      </w:r>
      <w:hyperlink w:history="1" r:id="rIdqwji7mymdroxjcwt3czom">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13. До публикации государственным заказчиком рейтинговой таблицы в колонке № 5 портала государственных грантов, гиперссылки "Посмотреть проектные предложения" (размещенные в таблицах со списками участников конкурса) остаются не активными и не позволяют посмотреть проектные предложения участников конкурса.</w:t>
      </w:r>
    </w:p>
    <w:p>
      <w:pPr>
        <w:spacing w:after="120"/>
        <w:jc w:val="both"/>
      </w:pPr>
      <w:r>
        <w:rPr>
          <w:rFonts w:ascii="Arial" w:cs="Arial" w:eastAsia="Arial" w:hAnsi="Arial"/>
          <w:sz w:val="24"/>
          <w:szCs w:val="24"/>
        </w:rPr>
        <w:t xml:space="preserve">14. Государственный заказчик публикует рейтинговую таблицу конкурсных заявок с полученными баллами и определяет победителей конкурса, информацию о которых можно увидеть через соответствующую гиперссылку в колонке № 5 портала государственных грантов. Образец страницы, открывающейся при нажатии на данную гиперссылку, приведен в </w:t>
      </w:r>
      <w:hyperlink w:history="1" r:id="rIddjdyx_eza8ltpnrofpfbt">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15. Одновременно с публикацией государственным заказчиком рейтинговой таблицы, через гиперссылки "посмотреть проектные предложения" (размещенные в таблицах со списками участников конкурса) открывается доступ для ознакомления с проектными предложениями участников конкурса всех заинтересованных сторон.</w:t>
      </w:r>
    </w:p>
    <w:p>
      <w:pPr>
        <w:spacing w:after="120"/>
        <w:jc w:val="both"/>
      </w:pPr>
      <w:r>
        <w:rPr>
          <w:rFonts w:ascii="Arial" w:cs="Arial" w:eastAsia="Arial" w:hAnsi="Arial"/>
          <w:sz w:val="24"/>
          <w:szCs w:val="24"/>
        </w:rPr>
        <w:t xml:space="preserve">5. Порядок подачи и рассмотрения жалоб</w:t>
      </w:r>
    </w:p>
    <w:p>
      <w:pPr>
        <w:spacing w:after="120"/>
        <w:jc w:val="both"/>
      </w:pPr>
      <w:r>
        <w:rPr>
          <w:rFonts w:ascii="Arial" w:cs="Arial" w:eastAsia="Arial" w:hAnsi="Arial"/>
          <w:sz w:val="24"/>
          <w:szCs w:val="24"/>
        </w:rPr>
        <w:t xml:space="preserve">16. Участники конкурса, несогласные с результатами конкурса, могут обжаловать решение грантовой комиссии в течение одного месяца со дня принятия решения грантовой комиссией. Жалобу можно подать через гиперссылку, размещенную в колонке № 6 портала государственных грантов. Образец страницы, открывающейся при нажатии на гиперссылку "Подать жалобу", приведен в </w:t>
      </w:r>
      <w:hyperlink w:history="1" r:id="rIddtultkchyhntgjauif46r">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17. Поступившие жалобы можно увидеть через гиперссылку "Посмотреть жалобы", размещенную на странице, открывающейся при нажатии на гиперссылку в колонке № 6 "Подать жалобу". Примерный образец списка поступивших жалоб приведен в </w:t>
      </w:r>
      <w:hyperlink w:history="1" r:id="rIdncb2lgz9h2olrl7w_vvua">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18. После рассмотрения поступивших жалоб в установленные законом сроки, грантовая комиссия выносит решение по каждой жалобе. Решения грантовой комиссии по жалобам можно увидеть через гиперссылку "Решения по жалобам", размещенную на странице, открывающейся при нажатии на гиперссылку в колонке № 6 "Подать жалобу". Примерная форма решения грантовой комиссии по поступившим жалобам приведена в </w:t>
      </w:r>
      <w:hyperlink w:history="1" r:id="rIdlphkxgewg1ji6mw5rp_dx">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 Заключение договоров с победителями конкурса</w:t>
      </w:r>
    </w:p>
    <w:p>
      <w:pPr>
        <w:spacing w:after="120"/>
        <w:jc w:val="both"/>
      </w:pPr>
      <w:r>
        <w:rPr>
          <w:rFonts w:ascii="Arial" w:cs="Arial" w:eastAsia="Arial" w:hAnsi="Arial"/>
          <w:sz w:val="24"/>
          <w:szCs w:val="24"/>
        </w:rPr>
        <w:t xml:space="preserve">19. Государственный заказчик заключает договор о реализации общественно полезного проекта с исполнителем общественно полезного проекта. Список победителей конкурса, с которыми заключены договоры о реализации общественно полезных проектов, можно увидеть через гиперссылку "Договоры", размещенную в колонке № 7 портала государственных грантов. Примерный образец списка победителей конкурса, с которыми заключены договоры на реализацию общественно полезных проектов, приведен в </w:t>
      </w:r>
      <w:hyperlink w:history="1" r:id="rId8b4gpyi6scqzzlwihfa6s">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20. Договоры о реализации общественно полезных проектов с победителями конкурса заключаются на основе типового договора, форма которого приведена в </w:t>
      </w:r>
      <w:hyperlink w:history="1" r:id="rId9j11mocbebolfkjh-vtdx">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7. Информация об актах проверки, отчетах о мониторинге и оценке, отчетах исполнителя проекта</w:t>
      </w:r>
    </w:p>
    <w:p>
      <w:pPr>
        <w:spacing w:after="120"/>
        <w:jc w:val="both"/>
      </w:pPr>
      <w:r>
        <w:rPr>
          <w:rFonts w:ascii="Arial" w:cs="Arial" w:eastAsia="Arial" w:hAnsi="Arial"/>
          <w:sz w:val="24"/>
          <w:szCs w:val="24"/>
        </w:rPr>
        <w:t xml:space="preserve">21. Через гиперссылки, размещенные в колонке № 8 портала государственных грантов, публикуются следующие документы о ходе реализации общественно полезных проектов:</w:t>
      </w:r>
    </w:p>
    <w:p>
      <w:pPr>
        <w:spacing w:after="120"/>
        <w:jc w:val="both"/>
      </w:pPr>
      <w:r>
        <w:rPr>
          <w:rFonts w:ascii="Arial" w:cs="Arial" w:eastAsia="Arial" w:hAnsi="Arial"/>
          <w:sz w:val="24"/>
          <w:szCs w:val="24"/>
        </w:rPr>
        <w:t xml:space="preserve">1) акты проверок государственным заказчиком реализации исполнителями общественно полезных проектов;</w:t>
      </w:r>
    </w:p>
    <w:p>
      <w:pPr>
        <w:spacing w:after="120"/>
        <w:jc w:val="both"/>
      </w:pPr>
      <w:r>
        <w:rPr>
          <w:rFonts w:ascii="Arial" w:cs="Arial" w:eastAsia="Arial" w:hAnsi="Arial"/>
          <w:sz w:val="24"/>
          <w:szCs w:val="24"/>
        </w:rPr>
        <w:t xml:space="preserve">2) отчеты о мониторинге и оценке реализации общественно полезных проектов;</w:t>
      </w:r>
    </w:p>
    <w:p>
      <w:pPr>
        <w:spacing w:after="120"/>
        <w:jc w:val="both"/>
      </w:pPr>
      <w:r>
        <w:rPr>
          <w:rFonts w:ascii="Arial" w:cs="Arial" w:eastAsia="Arial" w:hAnsi="Arial"/>
          <w:sz w:val="24"/>
          <w:szCs w:val="24"/>
        </w:rPr>
        <w:t xml:space="preserve">3) программные и финансовые отчеты исполнителей общественно полезных проектов.</w:t>
      </w:r>
    </w:p>
    <w:p>
      <w:pPr>
        <w:spacing w:after="120"/>
        <w:jc w:val="both"/>
      </w:pPr>
      <w:r>
        <w:rPr>
          <w:rFonts w:ascii="Arial" w:cs="Arial" w:eastAsia="Arial" w:hAnsi="Arial"/>
          <w:sz w:val="24"/>
          <w:szCs w:val="24"/>
        </w:rPr>
        <w:t xml:space="preserve">22. Образец страницы, открывающейся при нажатии на гиперссылку "Список НКО, реализующих общественно полезные проекты", приведен в </w:t>
      </w:r>
      <w:hyperlink w:history="1" r:id="rIdiqet4-ootihbz2vjp93jt">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Дополнительная информация, размещаемая на портале государственных грантов</w:t>
      </w:r>
    </w:p>
    <w:p>
      <w:pPr>
        <w:spacing w:after="120"/>
        <w:jc w:val="both"/>
      </w:pPr>
      <w:r>
        <w:rPr>
          <w:rFonts w:ascii="Arial" w:cs="Arial" w:eastAsia="Arial" w:hAnsi="Arial"/>
          <w:sz w:val="24"/>
          <w:szCs w:val="24"/>
        </w:rPr>
        <w:t xml:space="preserve">23. На портале государственных грантов дополнительно размещается следующая информация:</w:t>
      </w:r>
    </w:p>
    <w:p>
      <w:pPr>
        <w:spacing w:after="120"/>
        <w:jc w:val="both"/>
      </w:pPr>
      <w:r>
        <w:rPr>
          <w:rFonts w:ascii="Arial" w:cs="Arial" w:eastAsia="Arial" w:hAnsi="Arial"/>
          <w:sz w:val="24"/>
          <w:szCs w:val="24"/>
        </w:rPr>
        <w:t xml:space="preserve">1) видеоролик "Как пользоваться порталом?";</w:t>
      </w:r>
    </w:p>
    <w:p>
      <w:pPr>
        <w:spacing w:after="120"/>
        <w:jc w:val="both"/>
      </w:pPr>
      <w:r>
        <w:rPr>
          <w:rFonts w:ascii="Arial" w:cs="Arial" w:eastAsia="Arial" w:hAnsi="Arial"/>
          <w:sz w:val="24"/>
          <w:szCs w:val="24"/>
        </w:rPr>
        <w:t xml:space="preserve">2) раздел "Часто задаваемые вопросы" (формат которого приведен в </w:t>
      </w:r>
      <w:hyperlink w:history="1" r:id="rIdicjbsi_qurzvdwoax3lli">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раздел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4) схема по срокам и этапам реализации государственного социального заказа (приведена в </w:t>
      </w:r>
      <w:hyperlink w:history="1" r:id="rId5ebfsstralhux3hvzy1mi">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 другая полезная информация о финансировании и реализации общественно полезных проектов.</w:t>
      </w:r>
    </w:p>
    <w:p>
      <w:pPr>
        <w:spacing w:after="120"/>
        <w:jc w:val="both"/>
      </w:pPr>
      <w:r>
        <w:rPr>
          <w:rFonts w:ascii="Arial" w:cs="Arial" w:eastAsia="Arial" w:hAnsi="Arial"/>
          <w:sz w:val="24"/>
          <w:szCs w:val="24"/>
        </w:rPr>
        <w:t xml:space="preserve">9. Администрирование портала государственных грантов</w:t>
      </w:r>
    </w:p>
    <w:p>
      <w:pPr>
        <w:spacing w:after="120"/>
        <w:jc w:val="both"/>
      </w:pPr>
      <w:r>
        <w:rPr>
          <w:rFonts w:ascii="Arial" w:cs="Arial" w:eastAsia="Arial" w:hAnsi="Arial"/>
          <w:sz w:val="24"/>
          <w:szCs w:val="24"/>
        </w:rPr>
        <w:t xml:space="preserve">24. Правительство Кыргызской Республики определяет уполномоченный государственный орган, на который возлагаются функции по администрированию портала государственных грантов (далее - уполномоченный государственный орган).</w:t>
      </w:r>
    </w:p>
    <w:p>
      <w:pPr>
        <w:spacing w:after="120"/>
        <w:jc w:val="both"/>
      </w:pPr>
      <w:r>
        <w:rPr>
          <w:rFonts w:ascii="Arial" w:cs="Arial" w:eastAsia="Arial" w:hAnsi="Arial"/>
          <w:sz w:val="24"/>
          <w:szCs w:val="24"/>
        </w:rPr>
        <w:t xml:space="preserve">25. Уполномоченный государственный орган обеспечивает функционирование портала государственных грантов в порядке, предусмотренном </w:t>
      </w:r>
      <w:hyperlink w:history="1" r:id="rIdluol-ubx2veivjqvwut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26. Уполномоченный государственный орган осуществляет следующие мероприятия, связанные с функционированием портала государственных грантов:</w:t>
      </w:r>
    </w:p>
    <w:p>
      <w:pPr>
        <w:spacing w:after="120"/>
        <w:jc w:val="both"/>
      </w:pPr>
      <w:r>
        <w:rPr>
          <w:rFonts w:ascii="Arial" w:cs="Arial" w:eastAsia="Arial" w:hAnsi="Arial"/>
          <w:sz w:val="24"/>
          <w:szCs w:val="24"/>
        </w:rPr>
        <w:t xml:space="preserve">1) обеспечивает сопровождение и бесперебойное функционирование программно-аппаратного комплекса портала государственных грантов;</w:t>
      </w:r>
    </w:p>
    <w:p>
      <w:pPr>
        <w:spacing w:after="120"/>
        <w:jc w:val="both"/>
      </w:pPr>
      <w:r>
        <w:rPr>
          <w:rFonts w:ascii="Arial" w:cs="Arial" w:eastAsia="Arial" w:hAnsi="Arial"/>
          <w:sz w:val="24"/>
          <w:szCs w:val="24"/>
        </w:rPr>
        <w:t xml:space="preserve">2) обеспечивает оперативную публикацию информационных материалов на портале государственных грантов;</w:t>
      </w:r>
    </w:p>
    <w:p>
      <w:pPr>
        <w:spacing w:after="120"/>
        <w:jc w:val="both"/>
      </w:pPr>
      <w:r>
        <w:rPr>
          <w:rFonts w:ascii="Arial" w:cs="Arial" w:eastAsia="Arial" w:hAnsi="Arial"/>
          <w:sz w:val="24"/>
          <w:szCs w:val="24"/>
        </w:rPr>
        <w:t xml:space="preserve">3) осуществляет регулярное резервное копирование и архивацию информационных ресурсов портала государственных грантов;</w:t>
      </w:r>
    </w:p>
    <w:p>
      <w:pPr>
        <w:spacing w:after="120"/>
        <w:jc w:val="both"/>
      </w:pPr>
      <w:r>
        <w:rPr>
          <w:rFonts w:ascii="Arial" w:cs="Arial" w:eastAsia="Arial" w:hAnsi="Arial"/>
          <w:sz w:val="24"/>
          <w:szCs w:val="24"/>
        </w:rPr>
        <w:t xml:space="preserve">4) обеспечивает информационную безопасность портала государственных грантов;</w:t>
      </w:r>
    </w:p>
    <w:p>
      <w:pPr>
        <w:spacing w:after="120"/>
        <w:jc w:val="both"/>
      </w:pPr>
      <w:r>
        <w:rPr>
          <w:rFonts w:ascii="Arial" w:cs="Arial" w:eastAsia="Arial" w:hAnsi="Arial"/>
          <w:sz w:val="24"/>
          <w:szCs w:val="24"/>
        </w:rPr>
        <w:t xml:space="preserve">5) осуществляет мероприятия по продвижению и популяризации портала государственных грантов в сети Интернет;</w:t>
      </w:r>
    </w:p>
    <w:p>
      <w:pPr>
        <w:spacing w:after="120"/>
        <w:jc w:val="both"/>
      </w:pPr>
      <w:r>
        <w:rPr>
          <w:rFonts w:ascii="Arial" w:cs="Arial" w:eastAsia="Arial" w:hAnsi="Arial"/>
          <w:sz w:val="24"/>
          <w:szCs w:val="24"/>
        </w:rPr>
        <w:t xml:space="preserve">6) отслеживает публикацию объявлений о конкурсах, поступление заявлений и проектных предложений, а также жалоб и предложений от пользователей портала государственных грантов;</w:t>
      </w:r>
    </w:p>
    <w:p>
      <w:pPr>
        <w:spacing w:after="120"/>
        <w:jc w:val="both"/>
      </w:pPr>
      <w:r>
        <w:rPr>
          <w:rFonts w:ascii="Arial" w:cs="Arial" w:eastAsia="Arial" w:hAnsi="Arial"/>
          <w:sz w:val="24"/>
          <w:szCs w:val="24"/>
        </w:rPr>
        <w:t xml:space="preserve">7) осуществляет мероприятия по развитию и модернизации программно-аппаратного комплекса портала государственных грантов;</w:t>
      </w:r>
    </w:p>
    <w:p>
      <w:pPr>
        <w:spacing w:after="120"/>
        <w:jc w:val="both"/>
      </w:pPr>
      <w:r>
        <w:rPr>
          <w:rFonts w:ascii="Arial" w:cs="Arial" w:eastAsia="Arial" w:hAnsi="Arial"/>
          <w:sz w:val="24"/>
          <w:szCs w:val="24"/>
        </w:rPr>
        <w:t xml:space="preserve">8) в случае проведения технических работ на сервере или других элементах программно-аппаратного комплекса портала государственных грантов, в однодневный срок уведомляет всех пользователей портала о проводимых работах и о возможных последствиях в работе портала государственных грантов путем размещения соответствующей информации в главной новостной ленте портала государственных грантов;</w:t>
      </w:r>
    </w:p>
    <w:p>
      <w:pPr>
        <w:spacing w:after="120"/>
        <w:jc w:val="both"/>
      </w:pPr>
      <w:r>
        <w:rPr>
          <w:rFonts w:ascii="Arial" w:cs="Arial" w:eastAsia="Arial" w:hAnsi="Arial"/>
          <w:sz w:val="24"/>
          <w:szCs w:val="24"/>
        </w:rPr>
        <w:t xml:space="preserve">9) в случае возникновения ситуации, повлекшей сбой в работе программного обеспечения портала, в однодневный срок уведомляет Правительство Кыргызской Республики о проводимых работах и сроках устранения неполадок.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ИНТЕРФЕЙС
 главной страницы веб-портала государственных грантов на финансирование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4"/>
        <w:gridCol w:w="1114"/>
        <w:gridCol w:w="1156"/>
        <w:gridCol w:w="1156"/>
        <w:gridCol w:w="1156"/>
        <w:gridCol w:w="1156"/>
        <w:gridCol w:w="1108"/>
        <w:gridCol w:w="1108"/>
        <w:gridCol w:w="1108"/>
      </w:tblGrid>
      <w:tr>
        <w:tc>
          <w:tcPr>
            <w:tcW w:type="dxa" w:w="222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 задаваемые вопросы</w:t>
            </w:r>
          </w:p>
        </w:tc>
        <w:tc>
          <w:tcPr>
            <w:tcW w:type="dxa" w:w="4624"/>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пользоваться порталом</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Портал государственных грантов на финансирование общественно полезных проектов в рамках государственного социального заказа</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конкурса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социальной программы. Условия конкурса. Критерии оценки проектных предложений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заявление, проектное предложение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участников конкурса и их проектные предложения. Дата, время вскрытия проектных предложений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Рейтинговая таблица конкурсных заявок с полученными баллами. Список победителей конкурса</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Обжалование решений грантовой комиссии. Список жалоб. Решения по жалобе</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реализации общественно полезного проекта</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проверок. Отчеты о мониторинге и оценке. Отчеты исполнителя проекта</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вскрытия 29 декабря 2017 10:00</w:t>
            </w:r>
          </w:p>
          <w:p>
            <w:pPr>
              <w:jc w:val="left"/>
            </w:pPr>
            <w:r>
              <w:rPr>
                <w:rFonts w:ascii="Arial" w:cs="Arial" w:eastAsia="Arial" w:hAnsi="Arial"/>
                <w:sz w:val="24"/>
                <w:szCs w:val="24"/>
              </w:rPr>
              <w:t xml:space="preserve">Посмотреть список участников и проектные предложения</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"___" ________________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Закона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 открытые:</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w:t>
      </w:r>
    </w:p>
    <w:p>
      <w:pPr>
        <w:spacing w:after="120"/>
        <w:jc w:val="both"/>
      </w:pPr>
      <w:r>
        <w:rPr>
          <w:rFonts w:ascii="Arial" w:cs="Arial" w:eastAsia="Arial" w:hAnsi="Arial"/>
          <w:sz w:val="24"/>
          <w:szCs w:val="24"/>
        </w:rPr>
        <w:t xml:space="preserve">Наименование проекта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об участии в конкурсе и прилагаемые к нему документы могут быть поданы грантовой комиссии через государственного заказчика или его территориальное подразделение, по выбору заявителя, одним из следующих способов:</w:t>
      </w:r>
    </w:p>
    <w:p>
      <w:pPr>
        <w:spacing w:after="120"/>
        <w:jc w:val="both"/>
      </w:pPr>
      <w:r>
        <w:rPr>
          <w:rFonts w:ascii="Arial" w:cs="Arial" w:eastAsia="Arial" w:hAnsi="Arial"/>
          <w:sz w:val="24"/>
          <w:szCs w:val="24"/>
        </w:rPr>
        <w:t xml:space="preserve">1) лично по адресу:</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2) по почте заказным письмом с уведомлением по адресу:</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3) отсканированы и направлены по электронной почте по адресу _______________________________ в порядке, предусмотренном подпунктом "б" пункта 2 части 5 статьи 26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4) через этот портал: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Прикрепить заявление и необходимые документы для участия в конкурсе общественно-полезных проектов:</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ОТПРАВИТЬ</w:t>
            </w:r>
          </w:p>
        </w:tc>
      </w:tr>
    </w:tbl>
    <w:p>
      <w:pPr>
        <w:spacing w:after="120"/>
        <w:jc w:val="both"/>
      </w:pPr>
      <w:r>
        <w:rPr>
          <w:rFonts w:ascii="Arial" w:cs="Arial" w:eastAsia="Arial" w:hAnsi="Arial"/>
          <w:sz w:val="24"/>
          <w:szCs w:val="24"/>
        </w:rPr>
        <w:t xml:space="preserve">После получения заявления об участии в конкурсе и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и прилагаемые к нему документы получены по почте, электронной почте, через данный 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участников конкурса и их проектные предложения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2787"/>
        <w:gridCol w:w="2685"/>
        <w:gridCol w:w="4242"/>
      </w:tblGrid>
      <w:tr>
        <w:tc>
          <w:tcPr>
            <w:tcW w:type="dxa" w:w="4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w:t>
            </w:r>
          </w:p>
        </w:tc>
        <w:tc>
          <w:tcPr>
            <w:tcW w:type="dxa" w:w="2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Проектное предложение</w:t>
            </w:r>
          </w:p>
        </w:tc>
        <w:tc>
          <w:tcPr>
            <w:tcW w:type="dxa" w:w="4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предложения</w:t>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Ознакомиться с проектными предложениями возможно:</w:t>
      </w:r>
    </w:p>
    <w:p>
      <w:pPr>
        <w:spacing w:after="120"/>
        <w:jc w:val="both"/>
      </w:pPr>
      <w:r>
        <w:rPr>
          <w:rFonts w:ascii="Arial" w:cs="Arial" w:eastAsia="Arial" w:hAnsi="Arial"/>
          <w:sz w:val="24"/>
          <w:szCs w:val="24"/>
        </w:rPr>
        <w:t xml:space="preserve">1) после наступления даты и времени вскрытия проектных предложений грантовой комиссией - "___" ___________________ 20__ г. _______ часов;</w:t>
      </w:r>
    </w:p>
    <w:p>
      <w:pPr>
        <w:spacing w:after="120"/>
        <w:jc w:val="both"/>
      </w:pPr>
      <w:r>
        <w:rPr>
          <w:rFonts w:ascii="Arial" w:cs="Arial" w:eastAsia="Arial" w:hAnsi="Arial"/>
          <w:sz w:val="24"/>
          <w:szCs w:val="24"/>
        </w:rPr>
        <w:t xml:space="preserve">2) после оценки проектных предложений и опубликования грантовой комиссией в колонке № 5 настоящего портала списка победителей конкурса и рейтинговой таблицы конкурсных заявок с полученными баллами.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РЕЙТИНГОВАЯ ТАБЛИЦА
 конкурсных заявок с полученными баллами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2766"/>
        <w:gridCol w:w="4425"/>
        <w:gridCol w:w="2176"/>
      </w:tblGrid>
      <w:tr>
        <w:tc>
          <w:tcPr>
            <w:tcW w:type="dxa" w:w="8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4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проекта:</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Баллы:
 19-190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Грантовой комиссией признаны победителями конкурса ________ организаций, перечисленных с ____ по ____ номер в данной рейтинговой таблице, и принято решение рекомендовать государственному заказчику финансировать данные проектные предложения.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О финансировании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Жалобу можно подать в течение одного месяца с даты публикации грантовой комиссией результатов конкурса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подачи жалобы грантовой комиссии:</w:t>
            </w:r>
          </w:p>
          <w:p>
            <w:pPr>
              <w:jc w:val="left"/>
            </w:pPr>
            <w:r>
              <w:rPr>
                <w:rFonts w:ascii="Arial" w:cs="Arial" w:eastAsia="Arial" w:hAnsi="Arial"/>
                <w:sz w:val="24"/>
                <w:szCs w:val="24"/>
              </w:rPr>
              <w:t xml:space="preserve">Нажмите здесь!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Список жалоб и их содержание можно посмотреть здесь: Посмотреть жалобы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Решения грантовой комиссии по жалобам можно посмотреть здесь: Решения по жалобам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поступивших жалоб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4008"/>
        <w:gridCol w:w="1551"/>
        <w:gridCol w:w="4112"/>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тендера</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Жалоба</w:t>
            </w:r>
          </w:p>
        </w:tc>
        <w:tc>
          <w:tcPr>
            <w:tcW w:type="dxa" w:w="4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жалобы</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РЕШЕНИЕ
 грантовой комиссии по поступившим жалобам</w:t>
      </w:r>
    </w:p>
    <w:p>
      <w:pPr>
        <w:tabs>
          <w:tab w:val="right" w:pos="10178"/>
        </w:tabs>
        <w:spacing w:after="120"/>
      </w:pPr>
      <w:r>
        <w:rPr>
          <w:rFonts w:ascii="Arial" w:cs="Arial" w:eastAsia="Arial" w:hAnsi="Arial"/>
          <w:sz w:val="24"/>
          <w:szCs w:val="24"/>
        </w:rPr>
        <w:t xml:space="preserve">"___" _______________ 20__ года</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Грантовая комиссия в составе: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 ...</w:t>
      </w:r>
    </w:p>
    <w:p>
      <w:pPr>
        <w:spacing w:after="120"/>
        <w:jc w:val="both"/>
      </w:pPr>
      <w:r>
        <w:rPr>
          <w:rFonts w:ascii="Arial" w:cs="Arial" w:eastAsia="Arial" w:hAnsi="Arial"/>
          <w:sz w:val="24"/>
          <w:szCs w:val="24"/>
        </w:rPr>
        <w:t xml:space="preserve">Рассмотрев поступившие жалобы по конкурсу ____________________________________________,
 проведенному ___________________________________________________________, установлено:
                                              (наименование государственного заказчика)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Грантовая комиссия считает,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 основании вышеизложенного принято решение:</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___________________________</w:t>
      </w:r>
    </w:p>
    <w:p>
      <w:pPr>
        <w:spacing w:after="120"/>
        <w:jc w:val="both"/>
      </w:pPr>
      <w:r>
        <w:rPr>
          <w:rFonts w:ascii="Arial" w:cs="Arial" w:eastAsia="Arial" w:hAnsi="Arial"/>
          <w:sz w:val="24"/>
          <w:szCs w:val="24"/>
        </w:rPr>
        <w:t xml:space="preserve">Секретарь 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победителей конкурса, с которыми заключен договор о реализации общественно полезного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5075"/>
        <w:gridCol w:w="4147"/>
      </w:tblGrid>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1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Договоры о реализации общественно полезных проектов с победителями конкурса заключаются на основе типового договора.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0"/>
        <w:gridCol w:w="4098"/>
      </w:tblGrid>
      <w:tr>
        <w:tc>
          <w:tcPr>
            <w:tcW w:type="dxa" w:w="60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типового договора о реализации общественно полезного проекта в рамках государственного социального заказа</w:t>
            </w:r>
          </w:p>
        </w:tc>
        <w:tc>
          <w:tcPr>
            <w:tcW w:type="dxa" w:w="40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Посмотреть(3)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ТИПОВОЙ ДОГОВОР
 о реализации общественно полезного проекта
 __________________________________________________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  по соглашению сторон;</w:t>
      </w:r>
    </w:p>
    <w:p>
      <w:pPr>
        <w:spacing w:after="120"/>
        <w:jc w:val="both"/>
      </w:pPr>
      <w:r>
        <w:rPr>
          <w:rFonts w:ascii="Arial" w:cs="Arial" w:eastAsia="Arial" w:hAnsi="Arial"/>
          <w:sz w:val="24"/>
          <w:szCs w:val="24"/>
        </w:rPr>
        <w:t xml:space="preserve">2) -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работы(4):</w:t>
            </w:r>
          </w:p>
          <w:p>
            <w:pPr>
              <w:jc w:val="left"/>
            </w:pPr>
            <w:r>
              <w:rPr>
                <w:rFonts w:ascii="Arial" w:cs="Arial" w:eastAsia="Arial" w:hAnsi="Arial"/>
                <w:sz w:val="24"/>
                <w:szCs w:val="24"/>
              </w:rPr>
              <w:t xml:space="preserve">Анализ достижения цели и задач проекта</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ОТЧЕТ(6)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49"/>
        <w:gridCol w:w="2284"/>
        <w:gridCol w:w="2783"/>
        <w:gridCol w:w="1920"/>
        <w:gridCol w:w="1158"/>
      </w:tblGrid>
      <w:tr>
        <w:tc>
          <w:tcPr>
            <w:tcW w:type="dxa" w:w="3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1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некоммерческих организаций, реализующих общественно полезные проекты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4281"/>
        <w:gridCol w:w="5427"/>
      </w:tblGrid>
      <w:tr>
        <w:tc>
          <w:tcPr>
            <w:tcW w:type="dxa" w:w="4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5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проверок</w:t>
            </w:r>
          </w:p>
          <w:p>
            <w:pPr>
              <w:jc w:val="left"/>
            </w:pPr>
            <w:r>
              <w:rPr>
                <w:rFonts w:ascii="Arial" w:cs="Arial" w:eastAsia="Arial" w:hAnsi="Arial"/>
                <w:sz w:val="24"/>
                <w:szCs w:val="24"/>
              </w:rPr>
              <w:t xml:space="preserve">Отчеты о мониторинге и оценке</w:t>
            </w:r>
          </w:p>
          <w:p>
            <w:pPr>
              <w:jc w:val="left"/>
            </w:pPr>
            <w:r>
              <w:rPr>
                <w:rFonts w:ascii="Arial" w:cs="Arial" w:eastAsia="Arial" w:hAnsi="Arial"/>
                <w:sz w:val="24"/>
                <w:szCs w:val="24"/>
              </w:rPr>
              <w:t xml:space="preserve">Отчеты исполнителя проекта</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Посмотреть(7)</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Акты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Отчеты о мониторинге и оценке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Отчеты исполнителя о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Программный отчет</w:t>
            </w:r>
          </w:p>
          <w:p>
            <w:pPr>
              <w:jc w:val="left"/>
            </w:pPr>
            <w:r>
              <w:rPr>
                <w:rFonts w:ascii="Arial" w:cs="Arial" w:eastAsia="Arial" w:hAnsi="Arial"/>
                <w:sz w:val="24"/>
                <w:szCs w:val="24"/>
              </w:rPr>
              <w:t xml:space="preserve">2) Финансовый отчет</w:t>
            </w:r>
          </w:p>
          <w:p>
            <w:pPr>
              <w:jc w:val="left"/>
            </w:pPr>
            <w:r>
              <w:rPr>
                <w:rFonts w:ascii="Arial" w:cs="Arial" w:eastAsia="Arial" w:hAnsi="Arial"/>
                <w:sz w:val="24"/>
                <w:szCs w:val="24"/>
              </w:rPr>
              <w:t xml:space="preserve">3) Списки получателей услуг</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Программный отчет</w:t>
            </w:r>
          </w:p>
          <w:p>
            <w:pPr>
              <w:jc w:val="left"/>
            </w:pPr>
            <w:r>
              <w:rPr>
                <w:rFonts w:ascii="Arial" w:cs="Arial" w:eastAsia="Arial" w:hAnsi="Arial"/>
                <w:sz w:val="24"/>
                <w:szCs w:val="24"/>
              </w:rPr>
              <w:t xml:space="preserve">5) Финансовый отчет</w:t>
            </w:r>
          </w:p>
          <w:p>
            <w:pPr>
              <w:jc w:val="left"/>
            </w:pPr>
            <w:r>
              <w:rPr>
                <w:rFonts w:ascii="Arial" w:cs="Arial" w:eastAsia="Arial" w:hAnsi="Arial"/>
                <w:sz w:val="24"/>
                <w:szCs w:val="24"/>
              </w:rPr>
              <w:t xml:space="preserve">6) Списки получателей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Заключительный отчет</w:t>
            </w:r>
          </w:p>
          <w:p>
            <w:pPr>
              <w:jc w:val="left"/>
            </w:pPr>
            <w:r>
              <w:rPr>
                <w:rFonts w:ascii="Arial" w:cs="Arial" w:eastAsia="Arial" w:hAnsi="Arial"/>
                <w:sz w:val="24"/>
                <w:szCs w:val="24"/>
              </w:rPr>
              <w:t xml:space="preserve">- Программный</w:t>
            </w:r>
          </w:p>
          <w:p>
            <w:pPr>
              <w:jc w:val="left"/>
            </w:pPr>
            <w:r>
              <w:rPr>
                <w:rFonts w:ascii="Arial" w:cs="Arial" w:eastAsia="Arial" w:hAnsi="Arial"/>
                <w:sz w:val="24"/>
                <w:szCs w:val="24"/>
              </w:rPr>
              <w:t xml:space="preserve">- Финансовый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Часто задаваемые вопросы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СРОКИ И ЭТАПЫ
 реализации государственного социального заказа (ГСЗ)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При нажатии этой гиперссылки должна открываться форма договора, приведенная в </w:t>
      </w:r>
      <w:r>
        <w:rPr>
          <w:rFonts w:ascii="Arial" w:cs="Arial" w:eastAsia="Arial" w:hAnsi="Arial"/>
          <w:sz w:val="24"/>
          <w:szCs w:val="24"/>
        </w:rPr>
        <w:t xml:space="preserve">приложении 10</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(5)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(6)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(7) При нажатии на данную гиперссылку открывается страница, образец которой приведен в </w:t>
      </w:r>
      <w:r>
        <w:rPr>
          <w:rFonts w:ascii="Arial" w:cs="Arial" w:eastAsia="Arial" w:hAnsi="Arial"/>
          <w:sz w:val="24"/>
          <w:szCs w:val="24"/>
        </w:rPr>
        <w:t xml:space="preserve">приложении 12</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dbg3enpvcyx9mv9a62f">
      <w:r>
        <w:rPr>
          <w:rFonts w:ascii="Arial" w:cs="Arial" w:eastAsia="Arial" w:hAnsi="Arial"/>
          <w:color w:val="132D3F"/>
          <w:sz w:val="16"/>
          <w:szCs w:val="16"/>
          <w:u w:val="single"/>
        </w:rPr>
        <w:t xml:space="preserve">dalil.kg/document/12023</w:t>
      </w:r>
    </w:hyperlink>
  </w:p>
  <w:p>
    <w:pPr>
      <w:spacing w:after="0" w:before="40"/>
      <w:jc w:val="center"/>
    </w:pPr>
    <w:hyperlink w:history="1" r:id="rIdcrohwynnbcrlszvdzdd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nwupopt73otkusq8gy4" Type="http://schemas.openxmlformats.org/officeDocument/2006/relationships/hyperlink" Target="https://dalil.kg/document/12019" TargetMode="External"/><Relationship Id="rIdsybxgu_6ypp6zn4vgutvv" Type="http://schemas.openxmlformats.org/officeDocument/2006/relationships/hyperlink" Target="https://dalil.kg/document/203685" TargetMode="External"/><Relationship Id="rId0nnlzrnckbagizqs2tepr" Type="http://schemas.openxmlformats.org/officeDocument/2006/relationships/hyperlink" Target="https://dalil.kg/document/12023#p1" TargetMode="External"/><Relationship Id="rIdetbtd38jdptvfmrr5hbxr" Type="http://schemas.openxmlformats.org/officeDocument/2006/relationships/hyperlink" Target="https://dalil.kg/document/12023#p2" TargetMode="External"/><Relationship Id="rIdlzbjh0psyhzqpqmueilzm" Type="http://schemas.openxmlformats.org/officeDocument/2006/relationships/hyperlink" Target="https://dalil.kg/document/12023#p3" TargetMode="External"/><Relationship Id="rId6olp1tz0pvzbgco0xsytt" Type="http://schemas.openxmlformats.org/officeDocument/2006/relationships/hyperlink" Target="https://dalil.kg/document/111577" TargetMode="External"/><Relationship Id="rIdqwji7mymdroxjcwt3czom" Type="http://schemas.openxmlformats.org/officeDocument/2006/relationships/hyperlink" Target="https://dalil.kg/document/12023#p4" TargetMode="External"/><Relationship Id="rIddjdyx_eza8ltpnrofpfbt" Type="http://schemas.openxmlformats.org/officeDocument/2006/relationships/hyperlink" Target="https://dalil.kg/document/12023#p5" TargetMode="External"/><Relationship Id="rIddtultkchyhntgjauif46r" Type="http://schemas.openxmlformats.org/officeDocument/2006/relationships/hyperlink" Target="https://dalil.kg/document/12023#p6" TargetMode="External"/><Relationship Id="rIdncb2lgz9h2olrl7w_vvua" Type="http://schemas.openxmlformats.org/officeDocument/2006/relationships/hyperlink" Target="https://dalil.kg/document/12023#p7" TargetMode="External"/><Relationship Id="rIdlphkxgewg1ji6mw5rp_dx" Type="http://schemas.openxmlformats.org/officeDocument/2006/relationships/hyperlink" Target="https://dalil.kg/document/12023#p8" TargetMode="External"/><Relationship Id="rId8b4gpyi6scqzzlwihfa6s" Type="http://schemas.openxmlformats.org/officeDocument/2006/relationships/hyperlink" Target="https://dalil.kg/document/12023#p9" TargetMode="External"/><Relationship Id="rId9j11mocbebolfkjh-vtdx" Type="http://schemas.openxmlformats.org/officeDocument/2006/relationships/hyperlink" Target="https://dalil.kg/document/12023#p10" TargetMode="External"/><Relationship Id="rIdiqet4-ootihbz2vjp93jt" Type="http://schemas.openxmlformats.org/officeDocument/2006/relationships/hyperlink" Target="https://dalil.kg/document/12023#p11" TargetMode="External"/><Relationship Id="rIdicjbsi_qurzvdwoax3lli" Type="http://schemas.openxmlformats.org/officeDocument/2006/relationships/hyperlink" Target="https://dalil.kg/document/12023#p13" TargetMode="External"/><Relationship Id="rId5ebfsstralhux3hvzy1mi" Type="http://schemas.openxmlformats.org/officeDocument/2006/relationships/hyperlink" Target="https://dalil.kg/document/12023#p14" TargetMode="External"/><Relationship Id="rIdluol-ubx2veivjqvwutvn" Type="http://schemas.openxmlformats.org/officeDocument/2006/relationships/hyperlink" Target="https://dalil.kg/document/11157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dbg3enpvcyx9mv9a62f" Type="http://schemas.openxmlformats.org/officeDocument/2006/relationships/hyperlink" Target="https://dalil.kg/document/12023" TargetMode="External"/><Relationship Id="rIdcrohwynnbcrlszvdzdd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2026-09-24T16:44:08.129Z</dcterms:created>
  <dcterms:modified xsi:type="dcterms:W3CDTF">2026-09-24T16:44:08.129Z</dcterms:modified>
</cp:coreProperties>
</file>

<file path=docProps/custom.xml><?xml version="1.0" encoding="utf-8"?>
<Properties xmlns="http://schemas.openxmlformats.org/officeDocument/2006/custom-properties" xmlns:vt="http://schemas.openxmlformats.org/officeDocument/2006/docPropsVTypes"/>
</file>