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xl8yn6rqnbaoe_-vinf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января 2018 года № 48</w:t>
      </w:r>
    </w:p>
    <w:p>
      <w:pPr>
        <w:spacing w:after="240" w:before="200"/>
        <w:jc w:val="center"/>
      </w:pPr>
      <w:r>
        <w:rPr>
          <w:rFonts w:ascii="Arial" w:cs="Arial" w:eastAsia="Arial" w:hAnsi="Arial"/>
          <w:b/>
          <w:bCs/>
          <w:sz w:val="32"/>
          <w:szCs w:val="32"/>
        </w:rPr>
        <w:t xml:space="preserve">ПОЛОЖЕНИЕ
 о едином учете преступлений, уголовных дел и материалов, по которым принято решение об отказе в возбуждении уголовного дела</w:t>
      </w:r>
    </w:p>
    <w:p>
      <w:pPr>
        <w:spacing w:after="120" w:before="200"/>
        <w:jc w:val="center"/>
      </w:pPr>
      <w:r>
        <w:rPr>
          <w:rFonts w:ascii="Arial" w:cs="Arial" w:eastAsia="Arial" w:hAnsi="Arial"/>
          <w:b/>
          <w:bCs/>
          <w:sz w:val="24"/>
          <w:szCs w:val="24"/>
        </w:rPr>
        <w:t xml:space="preserve">РАЗДЕЛ 1</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единый для всех правоохранительных органов, порядок учета преступлений, лиц их совершивших, движения уголовных дел, в том числе ускоренного досудебного производства, материалов доследственных проверок, иных объектов учета, а также предоставление информации для учета преступлений по делам частного обвинения в случае вынесения судом обвинительного приговора, вступившего в законную силу.</w:t>
      </w:r>
    </w:p>
    <w:p>
      <w:pPr>
        <w:spacing w:after="120"/>
        <w:jc w:val="both"/>
      </w:pPr>
      <w:r>
        <w:rPr>
          <w:rFonts w:ascii="Arial" w:cs="Arial" w:eastAsia="Arial" w:hAnsi="Arial"/>
          <w:sz w:val="24"/>
          <w:szCs w:val="24"/>
        </w:rPr>
        <w:t xml:space="preserve">2. В настоящем Положении используются следующие основные понятия, применяемые в части, касающейся учета преступлений:</w:t>
      </w:r>
    </w:p>
    <w:p>
      <w:pPr>
        <w:spacing w:after="120"/>
        <w:jc w:val="both"/>
      </w:pPr>
      <w:r>
        <w:rPr>
          <w:rFonts w:ascii="Arial" w:cs="Arial" w:eastAsia="Arial" w:hAnsi="Arial"/>
          <w:sz w:val="24"/>
          <w:szCs w:val="24"/>
        </w:rPr>
        <w:t xml:space="preserve">- регистрация - фиксация факта возбуждения уголовного дела с присвоением ему регистрационного номера;</w:t>
      </w:r>
    </w:p>
    <w:p>
      <w:pPr>
        <w:spacing w:after="120"/>
        <w:jc w:val="both"/>
      </w:pPr>
      <w:r>
        <w:rPr>
          <w:rFonts w:ascii="Arial" w:cs="Arial" w:eastAsia="Arial" w:hAnsi="Arial"/>
          <w:sz w:val="24"/>
          <w:szCs w:val="24"/>
        </w:rPr>
        <w:t xml:space="preserve">- учет - фиксирование в учетных документах должностным лицом, уполномоченным органом дознания осуществлять ускоренное досудебное производство, следователем, прокурором, судьей, сведений об объектах учета с последующим включением Управлением правовой статистики и учетов Генеральной прокуратуры Кыргызской Республики в статистическую отчетность сведений об объектах, отраженных в учетных документах;</w:t>
      </w:r>
    </w:p>
    <w:p>
      <w:pPr>
        <w:spacing w:after="120"/>
        <w:jc w:val="both"/>
      </w:pPr>
      <w:r>
        <w:rPr>
          <w:rFonts w:ascii="Arial" w:cs="Arial" w:eastAsia="Arial" w:hAnsi="Arial"/>
          <w:sz w:val="24"/>
          <w:szCs w:val="24"/>
        </w:rPr>
        <w:t xml:space="preserve">- регистрационные документы - регистрационные книги и журналы;</w:t>
      </w:r>
    </w:p>
    <w:p>
      <w:pPr>
        <w:spacing w:after="120"/>
        <w:jc w:val="both"/>
      </w:pPr>
      <w:r>
        <w:rPr>
          <w:rFonts w:ascii="Arial" w:cs="Arial" w:eastAsia="Arial" w:hAnsi="Arial"/>
          <w:sz w:val="24"/>
          <w:szCs w:val="24"/>
        </w:rPr>
        <w:t xml:space="preserve">- объекты учета - преступление (по факту совершения которого, независимо от времени его совершения: возбуждено уголовное дело, вынесено постановление об отказе в возбуждении уголовного дела по нереабилитирующим основаниям, вынесен обвинительный приговор по делу частного обвинения), лицо, совершившее преступление, уголовное дело, в том числе ускоренного досудебного производства, и принятое по нему решение, материальный ущерб, причиненный преступлениями и обеспечение его возмещения, потерпевший и иные решения по уголовному делу;</w:t>
      </w:r>
    </w:p>
    <w:p>
      <w:pPr>
        <w:spacing w:after="120"/>
        <w:jc w:val="both"/>
      </w:pPr>
      <w:r>
        <w:rPr>
          <w:rFonts w:ascii="Arial" w:cs="Arial" w:eastAsia="Arial" w:hAnsi="Arial"/>
          <w:sz w:val="24"/>
          <w:szCs w:val="24"/>
        </w:rPr>
        <w:t xml:space="preserve">- учетные документы - журналы учета, статистические карточки:</w:t>
      </w:r>
    </w:p>
    <w:p>
      <w:pPr>
        <w:spacing w:after="120"/>
        <w:jc w:val="both"/>
      </w:pPr>
      <w:r>
        <w:rPr>
          <w:rFonts w:ascii="Arial" w:cs="Arial" w:eastAsia="Arial" w:hAnsi="Arial"/>
          <w:sz w:val="24"/>
          <w:szCs w:val="24"/>
        </w:rPr>
        <w:t xml:space="preserve">- форма № 1.0 - единая статистическая карточка на возбужденное уголовное дело, в том числе ускоренного досудебного производства, материал доследственной проверки, по которому принято решение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форма № 1.1 - единая статистическая карточка о раскрытии преступления, об окончании уголовного дела, в том числе ускоренного досудебного производства, о материале доследственной проверки, по которому принято решение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форма № 2.0 - единая статистическая карточка на обвиняемого, на лицо в отношении которого принято решение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алфавитная карточка на лицо, в отношении которого утверждены прокурором обвинительное заключение, протокол ускоренного досудебного производства либо вынесено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форма № 3 - единая статистическая карточка о движении уголовного дела;</w:t>
      </w:r>
    </w:p>
    <w:p>
      <w:pPr>
        <w:spacing w:after="120"/>
        <w:jc w:val="both"/>
      </w:pPr>
      <w:r>
        <w:rPr>
          <w:rFonts w:ascii="Arial" w:cs="Arial" w:eastAsia="Arial" w:hAnsi="Arial"/>
          <w:sz w:val="24"/>
          <w:szCs w:val="24"/>
        </w:rPr>
        <w:t xml:space="preserve">- форма № 1.П - единая статистическая карточка на потерпевшего (заполняется по окончанию уголовного дела, в том числе ускоренного досудебного производства, по материалу доследственной проверки, по которому принято решение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форма № 1.2 - единая статистическая карточка о результатах рассмотрения уголовного дела в суде;</w:t>
      </w:r>
    </w:p>
    <w:p>
      <w:pPr>
        <w:spacing w:after="120"/>
        <w:jc w:val="both"/>
      </w:pPr>
      <w:r>
        <w:rPr>
          <w:rFonts w:ascii="Arial" w:cs="Arial" w:eastAsia="Arial" w:hAnsi="Arial"/>
          <w:sz w:val="24"/>
          <w:szCs w:val="24"/>
        </w:rPr>
        <w:t xml:space="preserve">- форма № 2.1 единая статистическая карточка на подсудимого;</w:t>
      </w:r>
    </w:p>
    <w:p>
      <w:pPr>
        <w:spacing w:after="120"/>
        <w:jc w:val="both"/>
      </w:pPr>
      <w:r>
        <w:rPr>
          <w:rFonts w:ascii="Arial" w:cs="Arial" w:eastAsia="Arial" w:hAnsi="Arial"/>
          <w:sz w:val="24"/>
          <w:szCs w:val="24"/>
        </w:rPr>
        <w:t xml:space="preserve">- книга учета заявлений и сообщений о преступлениях (далее - КУЗСП);</w:t>
      </w:r>
    </w:p>
    <w:p>
      <w:pPr>
        <w:spacing w:after="120"/>
        <w:jc w:val="both"/>
      </w:pPr>
      <w:r>
        <w:rPr>
          <w:rFonts w:ascii="Arial" w:cs="Arial" w:eastAsia="Arial" w:hAnsi="Arial"/>
          <w:sz w:val="24"/>
          <w:szCs w:val="24"/>
        </w:rPr>
        <w:t xml:space="preserve">- единый журнал учета преступлений, уголовных дел (материалов, протоколов) и лиц, совершивших преступления;</w:t>
      </w:r>
    </w:p>
    <w:p>
      <w:pPr>
        <w:spacing w:after="120"/>
        <w:jc w:val="both"/>
      </w:pPr>
      <w:r>
        <w:rPr>
          <w:rFonts w:ascii="Arial" w:cs="Arial" w:eastAsia="Arial" w:hAnsi="Arial"/>
          <w:sz w:val="24"/>
          <w:szCs w:val="24"/>
        </w:rPr>
        <w:t xml:space="preserve">- контрольный журнал учета преступлений, лиц их совершивших, уголовных дел и материалов о преступлениях;</w:t>
      </w:r>
    </w:p>
    <w:p>
      <w:pPr>
        <w:spacing w:after="120"/>
        <w:jc w:val="both"/>
      </w:pPr>
      <w:r>
        <w:rPr>
          <w:rFonts w:ascii="Arial" w:cs="Arial" w:eastAsia="Arial" w:hAnsi="Arial"/>
          <w:sz w:val="24"/>
          <w:szCs w:val="24"/>
        </w:rPr>
        <w:t xml:space="preserve">- журнал учета материалов, по которым вынесены постановления об отказе в возбуждении уголовного дела;</w:t>
      </w:r>
    </w:p>
    <w:p>
      <w:pPr>
        <w:spacing w:after="120"/>
        <w:jc w:val="both"/>
      </w:pPr>
      <w:r>
        <w:rPr>
          <w:rFonts w:ascii="Arial" w:cs="Arial" w:eastAsia="Arial" w:hAnsi="Arial"/>
          <w:sz w:val="24"/>
          <w:szCs w:val="24"/>
        </w:rPr>
        <w:t xml:space="preserve">- укрытый от учета объект - объект учета, сведения о котором не отражены в учетных документах либо не включены в государственную статистическую отчетность;</w:t>
      </w:r>
    </w:p>
    <w:p>
      <w:pPr>
        <w:spacing w:after="120"/>
        <w:jc w:val="both"/>
      </w:pPr>
      <w:r>
        <w:rPr>
          <w:rFonts w:ascii="Arial" w:cs="Arial" w:eastAsia="Arial" w:hAnsi="Arial"/>
          <w:sz w:val="24"/>
          <w:szCs w:val="24"/>
        </w:rPr>
        <w:t xml:space="preserve">- учтенный объект - объект учета, сведения о котором включены в статистическую отчетность. Корректировка данных статистической отчетности в зависимости от результатов расследования и судебного рассмотрения уголовного дела допускается только в пределах отчетного года, являющегося законченным отчетным периодом, кроме дел, возвращенных для восполнения пробелов следствия и дел, по которым вынесены оправдательные приговора в соответствии с частью 3 статьи 316 </w:t>
      </w:r>
      <w:hyperlink w:history="1" r:id="rIde6irbvp1hcl_qxmec8aq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и в дальнейшем приостановлены в соответствии со статьей 221 </w:t>
      </w:r>
      <w:hyperlink w:history="1" r:id="rIdiesdaa9e7sqjrkx0xwnk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отчетном периоде;</w:t>
      </w:r>
    </w:p>
    <w:p>
      <w:pPr>
        <w:spacing w:after="120"/>
        <w:jc w:val="both"/>
      </w:pPr>
      <w:r>
        <w:rPr>
          <w:rFonts w:ascii="Arial" w:cs="Arial" w:eastAsia="Arial" w:hAnsi="Arial"/>
          <w:sz w:val="24"/>
          <w:szCs w:val="24"/>
        </w:rPr>
        <w:t xml:space="preserve">- нераскрытое преступление - преступление, уголовное дело по которому следствие приостановлено на основании пунктов 1, 2, 3 и 4 части 1 статьи 221 УПК Кыргызской Республики.</w:t>
      </w:r>
    </w:p>
    <w:p>
      <w:pPr>
        <w:spacing w:after="120"/>
        <w:jc w:val="both"/>
      </w:pPr>
      <w:r>
        <w:rPr>
          <w:rFonts w:ascii="Arial" w:cs="Arial" w:eastAsia="Arial" w:hAnsi="Arial"/>
          <w:sz w:val="24"/>
          <w:szCs w:val="24"/>
        </w:rPr>
        <w:t xml:space="preserve">В число нераскрытых включаются преступления, уголовные дела по которым:</w:t>
      </w:r>
    </w:p>
    <w:p>
      <w:pPr>
        <w:spacing w:after="120"/>
        <w:jc w:val="both"/>
      </w:pPr>
      <w:r>
        <w:rPr>
          <w:rFonts w:ascii="Arial" w:cs="Arial" w:eastAsia="Arial" w:hAnsi="Arial"/>
          <w:sz w:val="24"/>
          <w:szCs w:val="24"/>
        </w:rPr>
        <w:t xml:space="preserve">- впервые приостановлены производством в текущем отчетном периоде по вышеуказанным основаниям независимо от даты возбуждения уголовного дела и даты учета преступления;</w:t>
      </w:r>
    </w:p>
    <w:p>
      <w:pPr>
        <w:spacing w:after="120"/>
        <w:jc w:val="both"/>
      </w:pPr>
      <w:r>
        <w:rPr>
          <w:rFonts w:ascii="Arial" w:cs="Arial" w:eastAsia="Arial" w:hAnsi="Arial"/>
          <w:sz w:val="24"/>
          <w:szCs w:val="24"/>
        </w:rPr>
        <w:t xml:space="preserve">- истекли процессуальные сроки расследования, но процессуальные решения по делу не приняты или статистические карточки по уголовным делам в подразделения правовой статистики и учетов органов прокуратуры не поступили;</w:t>
      </w:r>
    </w:p>
    <w:p>
      <w:pPr>
        <w:spacing w:after="120"/>
        <w:jc w:val="both"/>
      </w:pPr>
      <w:r>
        <w:rPr>
          <w:rFonts w:ascii="Arial" w:cs="Arial" w:eastAsia="Arial" w:hAnsi="Arial"/>
          <w:sz w:val="24"/>
          <w:szCs w:val="24"/>
        </w:rPr>
        <w:t xml:space="preserve">- возобновлены и отменены прокурором из ранее приостановленных производством;</w:t>
      </w:r>
    </w:p>
    <w:p>
      <w:pPr>
        <w:spacing w:after="120"/>
        <w:jc w:val="both"/>
      </w:pPr>
      <w:r>
        <w:rPr>
          <w:rFonts w:ascii="Arial" w:cs="Arial" w:eastAsia="Arial" w:hAnsi="Arial"/>
          <w:sz w:val="24"/>
          <w:szCs w:val="24"/>
        </w:rPr>
        <w:t xml:space="preserve">- сроки следствия продлены соответствующими прокурорами;</w:t>
      </w:r>
    </w:p>
    <w:p>
      <w:pPr>
        <w:spacing w:after="120"/>
        <w:jc w:val="both"/>
      </w:pPr>
      <w:r>
        <w:rPr>
          <w:rFonts w:ascii="Arial" w:cs="Arial" w:eastAsia="Arial" w:hAnsi="Arial"/>
          <w:sz w:val="24"/>
          <w:szCs w:val="24"/>
        </w:rPr>
        <w:t xml:space="preserve">- возвращены для восполнения пробелов следствия и дела, по которым вынесены оправдательные приговоры в соответствии с частью 3 статьи 316 </w:t>
      </w:r>
      <w:hyperlink w:history="1" r:id="rIdcdi-nox_dcr9muode2wp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и в дальнейшем приостановлены в соответствии со статьей 221 </w:t>
      </w:r>
      <w:hyperlink w:history="1" r:id="rIdrxfjhe3bxmpbptlslhcl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отчетном периоде.</w:t>
      </w:r>
    </w:p>
    <w:p>
      <w:pPr>
        <w:spacing w:after="120"/>
        <w:jc w:val="both"/>
      </w:pPr>
      <w:r>
        <w:rPr>
          <w:rFonts w:ascii="Arial" w:cs="Arial" w:eastAsia="Arial" w:hAnsi="Arial"/>
          <w:sz w:val="24"/>
          <w:szCs w:val="24"/>
        </w:rPr>
        <w:t xml:space="preserve">Преступления, расследование по уголовным делам, которых ранее были приостановлены на основании пунктов 1, 2, 3 и 4 части 1 статьи 221 </w:t>
      </w:r>
      <w:hyperlink w:history="1" r:id="rId0cs5aw6qf56ydtmlmfp6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исключаются из числа нераскрытых только после принятия решения о направлении уголовного дела в суд либо его прекращении.</w:t>
      </w:r>
    </w:p>
    <w:p>
      <w:pPr>
        <w:spacing w:after="120"/>
        <w:jc w:val="both"/>
      </w:pPr>
      <w:r>
        <w:rPr>
          <w:rFonts w:ascii="Arial" w:cs="Arial" w:eastAsia="Arial" w:hAnsi="Arial"/>
          <w:sz w:val="24"/>
          <w:szCs w:val="24"/>
        </w:rPr>
        <w:t xml:space="preserve">Раскрываемость преступлений рассчитывается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О - дела, впервые оконченные в отчетном периоде с направлением в суд в порядке статьи 239, пункта 1 части 3 статьи 409, пункта 1 части 1 статьи 416-4 </w:t>
      </w:r>
      <w:hyperlink w:history="1" r:id="rIde68malpxee3xfwlbim23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либо прекращенные производством, а также материалы, по которым вынесены постановления об отказе в возбуждении уголовного дела по нереабилитирующим основаниям на досудебной стадии по пунктам 7, 9, 10, 11 и 12 (с предъявлением обвинения), 13, 14 части 1 статьи 28 и части 1 статьи 29 </w:t>
      </w:r>
      <w:hyperlink w:history="1" r:id="rIdkigny1fywotfglpbnkqg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 - число нераскрытых преступлений.</w:t>
      </w:r>
    </w:p>
    <w:p>
      <w:pPr>
        <w:spacing w:after="120"/>
        <w:jc w:val="both"/>
      </w:pPr>
      <w:r>
        <w:rPr>
          <w:rFonts w:ascii="Arial" w:cs="Arial" w:eastAsia="Arial" w:hAnsi="Arial"/>
          <w:sz w:val="24"/>
          <w:szCs w:val="24"/>
        </w:rPr>
        <w:t xml:space="preserve">3. Нереабилитирующие основания:</w:t>
      </w:r>
    </w:p>
    <w:p>
      <w:pPr>
        <w:spacing w:after="120"/>
        <w:jc w:val="both"/>
      </w:pPr>
      <w:r>
        <w:rPr>
          <w:rFonts w:ascii="Arial" w:cs="Arial" w:eastAsia="Arial" w:hAnsi="Arial"/>
          <w:sz w:val="24"/>
          <w:szCs w:val="24"/>
        </w:rPr>
        <w:t xml:space="preserve">Прекращение уголовного дела или отказ в возбуждении уголовного дела по следующим основаниям:</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(пункт 7 части 1 статьи 28 УПК Кыргызской Республики);</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Особенной части </w:t>
      </w:r>
      <w:hyperlink w:history="1" r:id="rIdwzezkg5zlw_tczqtxswi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(пункт 9 части 1 статьи 28 </w:t>
      </w:r>
      <w:hyperlink w:history="1" r:id="rIdzq_5qiz3_idfdmldysbq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вследствие акта об амнистии, если он устраняет применение наказания за совершенное деяние (пункт 10 части 1 статьи 28 УПК Кыргызской Республики);</w:t>
      </w:r>
    </w:p>
    <w:p>
      <w:pPr>
        <w:spacing w:after="120"/>
        <w:jc w:val="both"/>
      </w:pPr>
      <w:r>
        <w:rPr>
          <w:rFonts w:ascii="Arial" w:cs="Arial" w:eastAsia="Arial" w:hAnsi="Arial"/>
          <w:sz w:val="24"/>
          <w:szCs w:val="24"/>
        </w:rPr>
        <w:t xml:space="preserve">- за истечением срока давности (пункт 11 части 1 статьи 28 УПК Кыргызской Республики);</w:t>
      </w:r>
    </w:p>
    <w:p>
      <w:pPr>
        <w:spacing w:after="120"/>
        <w:jc w:val="both"/>
      </w:pPr>
      <w:r>
        <w:rPr>
          <w:rFonts w:ascii="Arial" w:cs="Arial" w:eastAsia="Arial" w:hAnsi="Arial"/>
          <w:sz w:val="24"/>
          <w:szCs w:val="24"/>
        </w:rPr>
        <w:t xml:space="preserve">- за отказом потерпевшего от поддержания частного и частно-публичного обвинения и (или) при достижении согласия обвиняемого с потерпевшим в соответствии со статьей 66 УК Кыргызской Республики (пункт 12 части 1 статьи 28 УПК Кыргызской Республики, с предъявлением обвинения);</w:t>
      </w:r>
    </w:p>
    <w:p>
      <w:pPr>
        <w:spacing w:after="120"/>
        <w:jc w:val="both"/>
      </w:pPr>
      <w:r>
        <w:rPr>
          <w:rFonts w:ascii="Arial" w:cs="Arial" w:eastAsia="Arial" w:hAnsi="Arial"/>
          <w:sz w:val="24"/>
          <w:szCs w:val="24"/>
        </w:rPr>
        <w:t xml:space="preserve">- при отказе прокурора от поддержания частно-публичного обвинения по делу, по которому гражданин (человек) не является потерпевшим (пункт 13 части 1 статьи 28 УПК Кыргызской Республики);</w:t>
      </w:r>
    </w:p>
    <w:p>
      <w:pPr>
        <w:spacing w:after="120"/>
        <w:jc w:val="both"/>
      </w:pPr>
      <w:r>
        <w:rPr>
          <w:rFonts w:ascii="Arial" w:cs="Arial" w:eastAsia="Arial" w:hAnsi="Arial"/>
          <w:sz w:val="24"/>
          <w:szCs w:val="24"/>
        </w:rPr>
        <w:t xml:space="preserve">- при отказе потерпевшего и прокурора от поддержания публичного обвинения (пункт 14 части 1 статьи 28 УПК Кыргызской Республики);</w:t>
      </w:r>
    </w:p>
    <w:p>
      <w:pPr>
        <w:spacing w:after="120"/>
        <w:jc w:val="both"/>
      </w:pPr>
      <w:r>
        <w:rPr>
          <w:rFonts w:ascii="Arial" w:cs="Arial" w:eastAsia="Arial" w:hAnsi="Arial"/>
          <w:sz w:val="24"/>
          <w:szCs w:val="24"/>
        </w:rPr>
        <w:t xml:space="preserve">- вследствие изменения обстановки, если совершенное деяние потеряло общественно-опасный характер (пункт 1 части 1 статьи 29 УПК Кыргызской Республики);</w:t>
      </w:r>
    </w:p>
    <w:p>
      <w:pPr>
        <w:spacing w:after="120"/>
        <w:jc w:val="both"/>
      </w:pPr>
      <w:r>
        <w:rPr>
          <w:rFonts w:ascii="Arial" w:cs="Arial" w:eastAsia="Arial" w:hAnsi="Arial"/>
          <w:sz w:val="24"/>
          <w:szCs w:val="24"/>
        </w:rPr>
        <w:t xml:space="preserve">- если лицо перестало быть общественно опасным (пункт 2 части 1 статьи 29 </w:t>
      </w:r>
      <w:hyperlink w:history="1" r:id="rIdrcjszwbmhrils2g4tsu0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кроме уголовных дел о преступлении, предусмотренном частью третьей статьи 281 Уголовного кодекса Кыргызской Республики, совершенном виновными лицами в состоянии алкогольного, наркотического или иного опьянения; о преступлениях, предусмотренных статьями 224, 225, 303-315 </w:t>
      </w:r>
      <w:hyperlink w:history="1" r:id="rId7ad90bodj6soahj8qe9n8">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при достижении согласия обвиняемого с потерпевшим о передаче на рассмотрение суда аксакалов уголовного дела по преступлениям небольшой тяжести, предусматривающим наказание, не связанное с изоляцией от общества (пункт 3 части 1 статьи 29 </w:t>
      </w:r>
      <w:hyperlink w:history="1" r:id="rIdctb6kdhw2n6nd672ua0y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Реабилитирующие основания:</w:t>
      </w:r>
    </w:p>
    <w:p>
      <w:pPr>
        <w:spacing w:after="120"/>
        <w:jc w:val="both"/>
      </w:pPr>
      <w:r>
        <w:rPr>
          <w:rFonts w:ascii="Arial" w:cs="Arial" w:eastAsia="Arial" w:hAnsi="Arial"/>
          <w:sz w:val="24"/>
          <w:szCs w:val="24"/>
        </w:rPr>
        <w:t xml:space="preserve">Уголовные дела прекращены или приняты решения об отказе в возбуждении уголовного дела по следующим основаниям:</w:t>
      </w:r>
    </w:p>
    <w:p>
      <w:pPr>
        <w:spacing w:after="120"/>
        <w:jc w:val="both"/>
      </w:pPr>
      <w:r>
        <w:rPr>
          <w:rFonts w:ascii="Arial" w:cs="Arial" w:eastAsia="Arial" w:hAnsi="Arial"/>
          <w:sz w:val="24"/>
          <w:szCs w:val="24"/>
        </w:rPr>
        <w:t xml:space="preserve">- за отсутствием события преступления (пункт 1 части 1 статьи 28 УПК Кыргызской Республики);</w:t>
      </w:r>
    </w:p>
    <w:p>
      <w:pPr>
        <w:spacing w:after="120"/>
        <w:jc w:val="both"/>
      </w:pPr>
      <w:r>
        <w:rPr>
          <w:rFonts w:ascii="Arial" w:cs="Arial" w:eastAsia="Arial" w:hAnsi="Arial"/>
          <w:sz w:val="24"/>
          <w:szCs w:val="24"/>
        </w:rPr>
        <w:t xml:space="preserve">- за отсутствием в деянии состава преступления (пункт 2 части 1 статьи 28 УПК Кыргызской Республики);</w:t>
      </w:r>
    </w:p>
    <w:p>
      <w:pPr>
        <w:spacing w:after="120"/>
        <w:jc w:val="both"/>
      </w:pPr>
      <w:r>
        <w:rPr>
          <w:rFonts w:ascii="Arial" w:cs="Arial" w:eastAsia="Arial" w:hAnsi="Arial"/>
          <w:sz w:val="24"/>
          <w:szCs w:val="24"/>
        </w:rPr>
        <w:t xml:space="preserve">- за правомерностью деяния, причинившего вред в силу уголовного закона (пункт 3 части 1 статьи 28 УПК Кыргызской Республики);</w:t>
      </w:r>
    </w:p>
    <w:p>
      <w:pPr>
        <w:spacing w:after="120"/>
        <w:jc w:val="both"/>
      </w:pPr>
      <w:r>
        <w:rPr>
          <w:rFonts w:ascii="Arial" w:cs="Arial" w:eastAsia="Arial" w:hAnsi="Arial"/>
          <w:sz w:val="24"/>
          <w:szCs w:val="24"/>
        </w:rPr>
        <w:t xml:space="preserve">- за отсутствием жалобы потерпевшего (пункт 4 часть 1 статья 28 УПК Кыргызской Республики), за исключением случаев возбуждения уголовного дела по инициативе прокурора и следователя в порядке части 2 статьи 159 </w:t>
      </w:r>
      <w:hyperlink w:history="1" r:id="rIdoicyqd1syo-gd_ftoyin6">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имеются вступивший в законную силу приговор суда по тому же обвинению либо иное неотмененное судебное решение, установившие невозможность уголовного преследования (пункт 5 части 1 статьи 28 </w:t>
      </w:r>
      <w:hyperlink w:history="1" r:id="rIdo6d0leg2fm44frg3dmwl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имеется неотмененное постановление следователя, прокурора о прекращении дела по тому же деянию (пункт 6 части 1 статьи 28 </w:t>
      </w:r>
      <w:hyperlink w:history="1" r:id="rIdq2iby3k_pki9gs7fssjv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связи с добровольным отказом лица от доведения преступления до конца (пункт 8 части 1 статьи 28 УПК Кыргызской Республики);</w:t>
      </w:r>
    </w:p>
    <w:p>
      <w:pPr>
        <w:spacing w:after="120"/>
        <w:jc w:val="both"/>
      </w:pPr>
      <w:r>
        <w:rPr>
          <w:rFonts w:ascii="Arial" w:cs="Arial" w:eastAsia="Arial" w:hAnsi="Arial"/>
          <w:sz w:val="24"/>
          <w:szCs w:val="24"/>
        </w:rPr>
        <w:t xml:space="preserve">- при отсутствии достаточных доказательств, указывающих на совершение преступления обвиняемым, если исчерпаны все возможности для сбора дополнительных доказательств (пункт 2 части 1 статьи 225 </w:t>
      </w:r>
      <w:hyperlink w:history="1" r:id="rIdlnxreftesgxxpq4vpnb-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 реабилитирующим основаниям относится также вынесение оправдательного приговора по уголовному делу в соответствии с требованиями статьи 316 </w:t>
      </w:r>
      <w:hyperlink w:history="1" r:id="rIdo1jedenxtvlglyedpej5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Преступление считается совершенным в условиях неочевидности, если на момент возбуждения уголовного дела:</w:t>
      </w:r>
    </w:p>
    <w:p>
      <w:pPr>
        <w:spacing w:after="120"/>
        <w:jc w:val="both"/>
      </w:pPr>
      <w:r>
        <w:rPr>
          <w:rFonts w:ascii="Arial" w:cs="Arial" w:eastAsia="Arial" w:hAnsi="Arial"/>
          <w:sz w:val="24"/>
          <w:szCs w:val="24"/>
        </w:rPr>
        <w:t xml:space="preserve">- не установлено лицо, совершившее преступление;</w:t>
      </w:r>
    </w:p>
    <w:p>
      <w:pPr>
        <w:spacing w:after="120"/>
        <w:jc w:val="both"/>
      </w:pPr>
      <w:r>
        <w:rPr>
          <w:rFonts w:ascii="Arial" w:cs="Arial" w:eastAsia="Arial" w:hAnsi="Arial"/>
          <w:sz w:val="24"/>
          <w:szCs w:val="24"/>
        </w:rPr>
        <w:t xml:space="preserve">- подозреваемый установлен в результате реализации оперативно-розыскных мероприятий или личного сыска;</w:t>
      </w:r>
    </w:p>
    <w:p>
      <w:pPr>
        <w:spacing w:after="120"/>
        <w:jc w:val="both"/>
      </w:pPr>
      <w:r>
        <w:rPr>
          <w:rFonts w:ascii="Arial" w:cs="Arial" w:eastAsia="Arial" w:hAnsi="Arial"/>
          <w:sz w:val="24"/>
          <w:szCs w:val="24"/>
        </w:rPr>
        <w:t xml:space="preserve">- преступление выявлено в ходе расследования уголовного дела.</w:t>
      </w:r>
    </w:p>
    <w:p>
      <w:pPr>
        <w:spacing w:after="120"/>
        <w:jc w:val="both"/>
      </w:pPr>
      <w:r>
        <w:rPr>
          <w:rFonts w:ascii="Arial" w:cs="Arial" w:eastAsia="Arial" w:hAnsi="Arial"/>
          <w:sz w:val="24"/>
          <w:szCs w:val="24"/>
        </w:rPr>
        <w:t xml:space="preserve">Преступление, совершенное в условиях неочевидности, считается раскрытым "по горячим следам", если подозреваемое лицо установлено и задержано в порядке статьи 94 </w:t>
      </w:r>
      <w:hyperlink w:history="1" r:id="rIdlewcnkoipdqln5cxwiq4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течение 24 часов с момента совершения преступления.</w:t>
      </w:r>
    </w:p>
    <w:p>
      <w:pPr>
        <w:spacing w:after="120"/>
        <w:jc w:val="both"/>
      </w:pPr>
      <w:r>
        <w:rPr>
          <w:rFonts w:ascii="Arial" w:cs="Arial" w:eastAsia="Arial" w:hAnsi="Arial"/>
          <w:sz w:val="24"/>
          <w:szCs w:val="24"/>
        </w:rPr>
        <w:t xml:space="preserve">Глава 2. Субъекты регистрации и учета</w:t>
      </w:r>
    </w:p>
    <w:p>
      <w:pPr>
        <w:spacing w:after="120"/>
        <w:jc w:val="both"/>
      </w:pPr>
      <w:r>
        <w:rPr>
          <w:rFonts w:ascii="Arial" w:cs="Arial" w:eastAsia="Arial" w:hAnsi="Arial"/>
          <w:sz w:val="24"/>
          <w:szCs w:val="24"/>
        </w:rPr>
        <w:t xml:space="preserve">6. Субъектами регистрации являются:</w:t>
      </w:r>
    </w:p>
    <w:p>
      <w:pPr>
        <w:spacing w:after="120"/>
        <w:jc w:val="both"/>
      </w:pPr>
      <w:r>
        <w:rPr>
          <w:rFonts w:ascii="Arial" w:cs="Arial" w:eastAsia="Arial" w:hAnsi="Arial"/>
          <w:sz w:val="24"/>
          <w:szCs w:val="24"/>
        </w:rPr>
        <w:t xml:space="preserve">- органы прокуратуры (включая военную прокуратуру);</w:t>
      </w:r>
    </w:p>
    <w:p>
      <w:pPr>
        <w:spacing w:after="120"/>
        <w:jc w:val="both"/>
      </w:pPr>
      <w:r>
        <w:rPr>
          <w:rFonts w:ascii="Arial" w:cs="Arial" w:eastAsia="Arial" w:hAnsi="Arial"/>
          <w:sz w:val="24"/>
          <w:szCs w:val="24"/>
        </w:rPr>
        <w:t xml:space="preserve">- органы внутренних дел;</w:t>
      </w:r>
    </w:p>
    <w:p>
      <w:pPr>
        <w:spacing w:after="120"/>
        <w:jc w:val="both"/>
      </w:pPr>
      <w:r>
        <w:rPr>
          <w:rFonts w:ascii="Arial" w:cs="Arial" w:eastAsia="Arial" w:hAnsi="Arial"/>
          <w:sz w:val="24"/>
          <w:szCs w:val="24"/>
        </w:rPr>
        <w:t xml:space="preserve">- органы национальной безопасности;</w:t>
      </w:r>
    </w:p>
    <w:p>
      <w:pPr>
        <w:spacing w:after="120"/>
        <w:jc w:val="both"/>
      </w:pPr>
      <w:r>
        <w:rPr>
          <w:rFonts w:ascii="Arial" w:cs="Arial" w:eastAsia="Arial" w:hAnsi="Arial"/>
          <w:sz w:val="24"/>
          <w:szCs w:val="24"/>
        </w:rPr>
        <w:t xml:space="preserve">- органы по борьбе с экономическими преступлениями (финансовая полиция);</w:t>
      </w:r>
    </w:p>
    <w:p>
      <w:pPr>
        <w:spacing w:after="120"/>
        <w:jc w:val="both"/>
      </w:pPr>
      <w:r>
        <w:rPr>
          <w:rFonts w:ascii="Arial" w:cs="Arial" w:eastAsia="Arial" w:hAnsi="Arial"/>
          <w:sz w:val="24"/>
          <w:szCs w:val="24"/>
        </w:rPr>
        <w:t xml:space="preserve">- органы службы исполнения наказаний;</w:t>
      </w:r>
    </w:p>
    <w:p>
      <w:pPr>
        <w:spacing w:after="120"/>
        <w:jc w:val="both"/>
      </w:pPr>
      <w:r>
        <w:rPr>
          <w:rFonts w:ascii="Arial" w:cs="Arial" w:eastAsia="Arial" w:hAnsi="Arial"/>
          <w:sz w:val="24"/>
          <w:szCs w:val="24"/>
        </w:rPr>
        <w:t xml:space="preserve">- судебные органы;</w:t>
      </w:r>
    </w:p>
    <w:p>
      <w:pPr>
        <w:spacing w:after="120"/>
        <w:jc w:val="both"/>
      </w:pPr>
      <w:r>
        <w:rPr>
          <w:rFonts w:ascii="Arial" w:cs="Arial" w:eastAsia="Arial" w:hAnsi="Arial"/>
          <w:sz w:val="24"/>
          <w:szCs w:val="24"/>
        </w:rPr>
        <w:t xml:space="preserve">- органы дознания в соответствии со своей компетенцией обеспечивают регистрацию заявлений, сообщений о совершенном преступлении (пункт 1 части 2 статьи 38 </w:t>
      </w:r>
      <w:hyperlink w:history="1" r:id="rIdd-nflf2vehmwfc5cqhhk1">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Субъектами учета преступлений являются:</w:t>
      </w:r>
    </w:p>
    <w:p>
      <w:pPr>
        <w:spacing w:after="120"/>
        <w:jc w:val="both"/>
      </w:pPr>
      <w:r>
        <w:rPr>
          <w:rFonts w:ascii="Arial" w:cs="Arial" w:eastAsia="Arial" w:hAnsi="Arial"/>
          <w:sz w:val="24"/>
          <w:szCs w:val="24"/>
        </w:rPr>
        <w:t xml:space="preserve">- должностные лица, уполномоченные органом дознания осуществлять ускоренное досудебное производство, следователь, прокурор и судьи, на которых возложена обязанность фиксирования в учетных документах сведений об объектах учета;</w:t>
      </w:r>
    </w:p>
    <w:p>
      <w:pPr>
        <w:spacing w:after="120"/>
        <w:jc w:val="both"/>
      </w:pPr>
      <w:r>
        <w:rPr>
          <w:rFonts w:ascii="Arial" w:cs="Arial" w:eastAsia="Arial" w:hAnsi="Arial"/>
          <w:sz w:val="24"/>
          <w:szCs w:val="24"/>
        </w:rPr>
        <w:t xml:space="preserve">- подразделения правовой статистики и учетов органов прокуратуры, на которые возложена обязанность включения в статистическую отчетность сведений об объектах, отраженных в учетных документах.</w:t>
      </w:r>
    </w:p>
    <w:p>
      <w:pPr>
        <w:spacing w:after="120"/>
        <w:jc w:val="both"/>
      </w:pPr>
      <w:r>
        <w:rPr>
          <w:rFonts w:ascii="Arial" w:cs="Arial" w:eastAsia="Arial" w:hAnsi="Arial"/>
          <w:sz w:val="24"/>
          <w:szCs w:val="24"/>
        </w:rPr>
        <w:t xml:space="preserve">8. Сбор и обобщение статистических сведений, представляемых подразделениями правовой статистики и учетов органов прокуратуры по городам Бишкек и Ош, областей и других правоохранительных органов осуществляет Управление правовой статистики и учетов Генеральной прокуратуры Кыргызской Республики.</w:t>
      </w:r>
    </w:p>
    <w:p>
      <w:pPr>
        <w:spacing w:after="120"/>
        <w:jc w:val="both"/>
      </w:pPr>
      <w:r>
        <w:rPr>
          <w:rFonts w:ascii="Arial" w:cs="Arial" w:eastAsia="Arial" w:hAnsi="Arial"/>
          <w:sz w:val="24"/>
          <w:szCs w:val="24"/>
        </w:rPr>
        <w:t xml:space="preserve">9. Управление правовой статистики и учетов Генеральной прокуратуры Кыргызской Республики является держателем межведомственных статистических баз данных, представляющих собой государственные информационные ресурсы, отражающие состояние преступности и результаты борьбы с ней.</w:t>
      </w:r>
    </w:p>
    <w:p>
      <w:pPr>
        <w:spacing w:after="120"/>
        <w:jc w:val="both"/>
      </w:pPr>
      <w:r>
        <w:rPr>
          <w:rFonts w:ascii="Arial" w:cs="Arial" w:eastAsia="Arial" w:hAnsi="Arial"/>
          <w:sz w:val="24"/>
          <w:szCs w:val="24"/>
        </w:rPr>
        <w:t xml:space="preserve">10. Обязательно заполняемые реквизиты статистических карточек, а также внесение соответствующих изменений в порядок заполнения и представления учетных документов (раздел 2 настоящего Положения) устанавливает Генеральная прокуратура Кыргызской Республики по согласованию с другими субъектами учета в части, их касающейся.</w:t>
      </w:r>
    </w:p>
    <w:p>
      <w:pPr>
        <w:spacing w:after="120"/>
        <w:jc w:val="both"/>
      </w:pPr>
      <w:r>
        <w:rPr>
          <w:rFonts w:ascii="Arial" w:cs="Arial" w:eastAsia="Arial" w:hAnsi="Arial"/>
          <w:sz w:val="24"/>
          <w:szCs w:val="24"/>
        </w:rPr>
        <w:t xml:space="preserve">Глава 3. Учет заявлений и сообщений о преступлениях</w:t>
      </w:r>
    </w:p>
    <w:p>
      <w:pPr>
        <w:spacing w:after="120"/>
        <w:jc w:val="both"/>
      </w:pPr>
      <w:r>
        <w:rPr>
          <w:rFonts w:ascii="Arial" w:cs="Arial" w:eastAsia="Arial" w:hAnsi="Arial"/>
          <w:sz w:val="24"/>
          <w:szCs w:val="24"/>
        </w:rPr>
        <w:t xml:space="preserve">11. Заявления и сообщения о любом совершенном или готовящемся преступлении регистрируются в книге учета заявлений и сообщений о преступлениях (КУЗСП).</w:t>
      </w:r>
    </w:p>
    <w:p>
      <w:pPr>
        <w:spacing w:after="120"/>
        <w:jc w:val="both"/>
      </w:pPr>
      <w:r>
        <w:rPr>
          <w:rFonts w:ascii="Arial" w:cs="Arial" w:eastAsia="Arial" w:hAnsi="Arial"/>
          <w:sz w:val="24"/>
          <w:szCs w:val="24"/>
        </w:rPr>
        <w:t xml:space="preserve">12. К заявлениям и сообщениям о преступлениях, которые подлежат регистрации в КУЗСП, относятся:</w:t>
      </w:r>
    </w:p>
    <w:p>
      <w:pPr>
        <w:spacing w:after="120"/>
        <w:jc w:val="both"/>
      </w:pPr>
      <w:r>
        <w:rPr>
          <w:rFonts w:ascii="Arial" w:cs="Arial" w:eastAsia="Arial" w:hAnsi="Arial"/>
          <w:sz w:val="24"/>
          <w:szCs w:val="24"/>
        </w:rPr>
        <w:t xml:space="preserve">- устные или письменные заявления граждан (после разъяснения об уголовной ответственности за заведомо ложное сообщение о совершении преступления), оформленные в соответствии с </w:t>
      </w:r>
      <w:hyperlink w:history="1" r:id="rIdpqyv85wl--isbgmws-y8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и подписанные заявителем;</w:t>
      </w:r>
    </w:p>
    <w:p>
      <w:pPr>
        <w:spacing w:after="120"/>
        <w:jc w:val="both"/>
      </w:pPr>
      <w:r>
        <w:rPr>
          <w:rFonts w:ascii="Arial" w:cs="Arial" w:eastAsia="Arial" w:hAnsi="Arial"/>
          <w:sz w:val="24"/>
          <w:szCs w:val="24"/>
        </w:rPr>
        <w:t xml:space="preserve">- устные или письменные заявления о повинной, оформленные в соответствии с </w:t>
      </w:r>
      <w:hyperlink w:history="1" r:id="rIdb0rziqplc5aqrm8otieh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и подписанные лицами, явившимися с повинной;</w:t>
      </w:r>
    </w:p>
    <w:p>
      <w:pPr>
        <w:spacing w:after="120"/>
        <w:jc w:val="both"/>
      </w:pPr>
      <w:r>
        <w:rPr>
          <w:rFonts w:ascii="Arial" w:cs="Arial" w:eastAsia="Arial" w:hAnsi="Arial"/>
          <w:sz w:val="24"/>
          <w:szCs w:val="24"/>
        </w:rPr>
        <w:t xml:space="preserve">- письменные сообщения должностных лиц организаций;</w:t>
      </w:r>
    </w:p>
    <w:p>
      <w:pPr>
        <w:spacing w:after="120"/>
        <w:jc w:val="both"/>
      </w:pPr>
      <w:r>
        <w:rPr>
          <w:rFonts w:ascii="Arial" w:cs="Arial" w:eastAsia="Arial" w:hAnsi="Arial"/>
          <w:sz w:val="24"/>
          <w:szCs w:val="24"/>
        </w:rPr>
        <w:t xml:space="preserve">- сообщения, опубликованные в средствах массовой информации;</w:t>
      </w:r>
    </w:p>
    <w:p>
      <w:pPr>
        <w:spacing w:after="120"/>
        <w:jc w:val="both"/>
      </w:pPr>
      <w:r>
        <w:rPr>
          <w:rFonts w:ascii="Arial" w:cs="Arial" w:eastAsia="Arial" w:hAnsi="Arial"/>
          <w:sz w:val="24"/>
          <w:szCs w:val="24"/>
        </w:rPr>
        <w:t xml:space="preserve">- письменные сообщения или рапорта органа дознания, следователя, прокурора о непосредственном обнаружении преступлений, в том числе в процессе следствия.</w:t>
      </w:r>
    </w:p>
    <w:p>
      <w:pPr>
        <w:spacing w:after="120"/>
        <w:jc w:val="both"/>
      </w:pPr>
      <w:r>
        <w:rPr>
          <w:rFonts w:ascii="Arial" w:cs="Arial" w:eastAsia="Arial" w:hAnsi="Arial"/>
          <w:sz w:val="24"/>
          <w:szCs w:val="24"/>
        </w:rPr>
        <w:t xml:space="preserve">Органы внутренних дел, кроме вышеперечисленного, в КУЗСП регистрируют заявления и сообщения о без вести пропавших гражданах.</w:t>
      </w:r>
    </w:p>
    <w:p>
      <w:pPr>
        <w:spacing w:after="120"/>
        <w:jc w:val="both"/>
      </w:pPr>
      <w:r>
        <w:rPr>
          <w:rFonts w:ascii="Arial" w:cs="Arial" w:eastAsia="Arial" w:hAnsi="Arial"/>
          <w:sz w:val="24"/>
          <w:szCs w:val="24"/>
        </w:rPr>
        <w:t xml:space="preserve">13. Заявления или сообщения о преступлениях, кроме дел частного обвинения, поступившие в суд, направляются прокурору, который в зависимости от подследственности в предусмотренный законом срок направляет в соответствующий правоохранительный орган, где в обязательном порядке осуществляется регистрация в КУЗСП.</w:t>
      </w:r>
    </w:p>
    <w:p>
      <w:pPr>
        <w:spacing w:after="120"/>
        <w:jc w:val="both"/>
      </w:pPr>
      <w:r>
        <w:rPr>
          <w:rFonts w:ascii="Arial" w:cs="Arial" w:eastAsia="Arial" w:hAnsi="Arial"/>
          <w:sz w:val="24"/>
          <w:szCs w:val="24"/>
        </w:rPr>
        <w:t xml:space="preserve">14. Заявления или сообщения о преступлении по делам частного обвинения, поступившие в суд, должно быть зарегистрировано в соответствии с судебным делопроизводством. Преступления, лица, их совершившие, ставятся на учет путем заполнения судьей статистических карточек форм №№ 1.0, 1.П, 1.2, 2.1 и алфавитной карточки, которые немедленно, после вступления в законную силу решения, направляются в территориальные органы прокуратуры для регистрации в КУЗСП и далее передаются в соответствующие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В случае обжалования решения суда 1-й инстанции, последний после поступления уголовного дела из вышестоящих инстанций вместе со статистическими карточками форм №№ 1.0, 1.П, 1.2, 2.1 и алфавитной карточкой направляет в подразделения правовой статистики и учетов органов прокуратуры копию решения судов 2-й инстанции или Верховного суда Кыргызской Республики.</w:t>
      </w:r>
    </w:p>
    <w:p>
      <w:pPr>
        <w:spacing w:after="120"/>
        <w:jc w:val="both"/>
      </w:pPr>
      <w:r>
        <w:rPr>
          <w:rFonts w:ascii="Arial" w:cs="Arial" w:eastAsia="Arial" w:hAnsi="Arial"/>
          <w:sz w:val="24"/>
          <w:szCs w:val="24"/>
        </w:rPr>
        <w:t xml:space="preserve">15. Орган дознания, следователь и прокурор обязаны принять, зарегистрировать и рассмотреть заявления или сообщения о любом совершенном или готовящемся преступлении. Они не вправе отказываться от их приема под предлогом, обслуживания другой территории, подследственности другим правоохранительным органам, недостаточности сведений для решения вопроса о наличии признаков преступления или по каким-либо другим причинам. Отказ в принятии заявления, сообщения о преступлении или его укрытие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16. При получении заявления или сообщения о любом совершенном или готовящемся преступлении должностное лицо, наделенное соответствующими полномочиями по их принятию, обязан выдать заявителю талон-уведомление. Талон-уведомление состоит из двух частей: отрывного листка и корешка, имеющих одинаковый регистрационный номер. Отрывной листок, содержащий сведения о времени и дате приема заявления или сообщения, получившем должностном лице и заявителе, выдается заявителю. Корешок талона, в котором фиксируются сведения о заявителе, краткое содержание, дата и время приема заявления или сообщения, а также номер КУЗСП, остается в органе, осуществившем прием и регистрацию. Корешки талона используются при сверках полноты регистрации заявлений или сообщений, а также при проверках работы должностных лиц, в чьи обязанности входит прием такой информации, при рассмотрении жалоб на них.</w:t>
      </w:r>
    </w:p>
    <w:p>
      <w:pPr>
        <w:spacing w:after="120"/>
        <w:jc w:val="both"/>
      </w:pPr>
      <w:r>
        <w:rPr>
          <w:rFonts w:ascii="Arial" w:cs="Arial" w:eastAsia="Arial" w:hAnsi="Arial"/>
          <w:sz w:val="24"/>
          <w:szCs w:val="24"/>
        </w:rPr>
        <w:t xml:space="preserve">17. В соответствии с частью 1 статьи 156 </w:t>
      </w:r>
      <w:hyperlink w:history="1" r:id="rIdoqedped1oetgzmxrpt_0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по заявлениям и сообщениям о преступлениях принимаются следующие решения:</w:t>
      </w:r>
    </w:p>
    <w:p>
      <w:pPr>
        <w:spacing w:after="120"/>
        <w:jc w:val="both"/>
      </w:pPr>
      <w:r>
        <w:rPr>
          <w:rFonts w:ascii="Arial" w:cs="Arial" w:eastAsia="Arial" w:hAnsi="Arial"/>
          <w:sz w:val="24"/>
          <w:szCs w:val="24"/>
        </w:rPr>
        <w:t xml:space="preserve">- о возбуждении уголовного дела;</w:t>
      </w:r>
    </w:p>
    <w:p>
      <w:pPr>
        <w:spacing w:after="120"/>
        <w:jc w:val="both"/>
      </w:pPr>
      <w:r>
        <w:rPr>
          <w:rFonts w:ascii="Arial" w:cs="Arial" w:eastAsia="Arial" w:hAnsi="Arial"/>
          <w:sz w:val="24"/>
          <w:szCs w:val="24"/>
        </w:rPr>
        <w:t xml:space="preserve">- об отказе в возбуждении уголовного дела;</w:t>
      </w:r>
    </w:p>
    <w:p>
      <w:pPr>
        <w:spacing w:after="120"/>
        <w:jc w:val="both"/>
      </w:pPr>
      <w:r>
        <w:rPr>
          <w:rFonts w:ascii="Arial" w:cs="Arial" w:eastAsia="Arial" w:hAnsi="Arial"/>
          <w:sz w:val="24"/>
          <w:szCs w:val="24"/>
        </w:rPr>
        <w:t xml:space="preserve">- о направлении поступившего заявления или сообщения в другие органы, если рассмотрение таких заявлений или сообщений относится к подведомственности этих органов (или территориальности).</w:t>
      </w:r>
    </w:p>
    <w:p>
      <w:pPr>
        <w:spacing w:after="120"/>
        <w:jc w:val="both"/>
      </w:pPr>
      <w:r>
        <w:rPr>
          <w:rFonts w:ascii="Arial" w:cs="Arial" w:eastAsia="Arial" w:hAnsi="Arial"/>
          <w:sz w:val="24"/>
          <w:szCs w:val="24"/>
        </w:rPr>
        <w:t xml:space="preserve">18. Решение о возбуждении уголовного дела или об отказе в его возбуждении следователем или прокурором должно быть принято в сроки, установленные частью 2 статьи 156 УПК Кыргызской Республики.</w:t>
      </w:r>
    </w:p>
    <w:p>
      <w:pPr>
        <w:spacing w:after="120"/>
        <w:jc w:val="both"/>
      </w:pPr>
      <w:r>
        <w:rPr>
          <w:rFonts w:ascii="Arial" w:cs="Arial" w:eastAsia="Arial" w:hAnsi="Arial"/>
          <w:sz w:val="24"/>
          <w:szCs w:val="24"/>
        </w:rPr>
        <w:t xml:space="preserve">В соответствии с частью 3 статьи 156 </w:t>
      </w:r>
      <w:hyperlink w:history="1" r:id="rIdkcpat9k0amse1ploqbla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о возбуждении уголовного дела или об отказе в его возбуждении сообщается лицу, организации или должностному лицу, от которых поступило заявление или сообщение о преступлении.</w:t>
      </w:r>
    </w:p>
    <w:p>
      <w:pPr>
        <w:spacing w:after="120"/>
        <w:jc w:val="both"/>
      </w:pPr>
      <w:r>
        <w:rPr>
          <w:rFonts w:ascii="Arial" w:cs="Arial" w:eastAsia="Arial" w:hAnsi="Arial"/>
          <w:sz w:val="24"/>
          <w:szCs w:val="24"/>
        </w:rPr>
        <w:t xml:space="preserve">При получении заявления, сообщения, имеющего сведения об административном или дисциплинарном проступке, следователь, прокурор в соответствии с частью 4 статьи 156 </w:t>
      </w:r>
      <w:hyperlink w:history="1" r:id="rIdutict83knpjbxsma4fdb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вправе направить поступившее заявление или сообщение на рассмотрение в административном или дисциплинарном порядке.</w:t>
      </w:r>
    </w:p>
    <w:p>
      <w:pPr>
        <w:spacing w:after="120"/>
        <w:jc w:val="both"/>
      </w:pPr>
      <w:r>
        <w:rPr>
          <w:rFonts w:ascii="Arial" w:cs="Arial" w:eastAsia="Arial" w:hAnsi="Arial"/>
          <w:sz w:val="24"/>
          <w:szCs w:val="24"/>
        </w:rPr>
        <w:t xml:space="preserve">19. Сведения о принятом решении записываются в соответствующую графу КУЗСП, по которым определяется фактический срок рассмотрения заявлений и сообщений о преступлениях.</w:t>
      </w:r>
    </w:p>
    <w:p>
      <w:pPr>
        <w:spacing w:after="120"/>
        <w:jc w:val="both"/>
      </w:pPr>
      <w:r>
        <w:rPr>
          <w:rFonts w:ascii="Arial" w:cs="Arial" w:eastAsia="Arial" w:hAnsi="Arial"/>
          <w:sz w:val="24"/>
          <w:szCs w:val="24"/>
        </w:rPr>
        <w:t xml:space="preserve">20. Детальный порядок приема, регистрации и разрешения заявлений и сообщений о преступлениях, а также порядок заведения и ведения КУЗСП, ЖУИ определяются ведомственными инструкциями, принятыми в соответствии с Положением о едином порядке регистрации, учета и движения заявлений и сообщений о преступлениях и происшествиях.</w:t>
      </w:r>
    </w:p>
    <w:p>
      <w:pPr>
        <w:spacing w:after="120"/>
        <w:jc w:val="both"/>
      </w:pPr>
      <w:r>
        <w:rPr>
          <w:rFonts w:ascii="Arial" w:cs="Arial" w:eastAsia="Arial" w:hAnsi="Arial"/>
          <w:sz w:val="24"/>
          <w:szCs w:val="24"/>
        </w:rPr>
        <w:t xml:space="preserve">Глава 4. Учет преступлений</w:t>
      </w:r>
    </w:p>
    <w:p>
      <w:pPr>
        <w:spacing w:after="120"/>
        <w:jc w:val="both"/>
      </w:pPr>
      <w:r>
        <w:rPr>
          <w:rFonts w:ascii="Arial" w:cs="Arial" w:eastAsia="Arial" w:hAnsi="Arial"/>
          <w:sz w:val="24"/>
          <w:szCs w:val="24"/>
        </w:rPr>
        <w:t xml:space="preserve">21. Учету подлежит каждое преступление (на основе его юридической квалификации по конкретной норме </w:t>
      </w:r>
      <w:hyperlink w:history="1" r:id="rIdz-ix49mxdmvcyan_y49t4">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по факту совершения которого независимо от времени его совершения: возбуждено уголовное дело; вынесено постановление об отказе в возбуждении уголовного дела по нереабилитирующим основаниям; вынесен обвинительный приговор по делу частного обвинения.</w:t>
      </w:r>
    </w:p>
    <w:p>
      <w:pPr>
        <w:spacing w:after="120"/>
        <w:jc w:val="both"/>
      </w:pPr>
      <w:r>
        <w:rPr>
          <w:rFonts w:ascii="Arial" w:cs="Arial" w:eastAsia="Arial" w:hAnsi="Arial"/>
          <w:sz w:val="24"/>
          <w:szCs w:val="24"/>
        </w:rPr>
        <w:t xml:space="preserve">22. Основаниями учета преступлений являются:</w:t>
      </w:r>
    </w:p>
    <w:p>
      <w:pPr>
        <w:spacing w:after="120"/>
        <w:jc w:val="both"/>
      </w:pPr>
      <w:r>
        <w:rPr>
          <w:rFonts w:ascii="Arial" w:cs="Arial" w:eastAsia="Arial" w:hAnsi="Arial"/>
          <w:sz w:val="24"/>
          <w:szCs w:val="24"/>
        </w:rPr>
        <w:t xml:space="preserve">- постановление о возбуждении уголовного дела;</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постановление об отмене постановления о прекращении уголовного дела (уголовного преследования) и возобновлении производства по уголовному делу, ранее прекращенному со снятием преступления с учета;</w:t>
      </w:r>
    </w:p>
    <w:p>
      <w:pPr>
        <w:spacing w:after="120"/>
        <w:jc w:val="both"/>
      </w:pPr>
      <w:r>
        <w:rPr>
          <w:rFonts w:ascii="Arial" w:cs="Arial" w:eastAsia="Arial" w:hAnsi="Arial"/>
          <w:sz w:val="24"/>
          <w:szCs w:val="24"/>
        </w:rPr>
        <w:t xml:space="preserve">- постановление о выделении в отдельное производство уголовного дела или материалов о ранее неучтенном преступлении из другого уголовного дела;</w:t>
      </w:r>
    </w:p>
    <w:p>
      <w:pPr>
        <w:spacing w:after="120"/>
        <w:jc w:val="both"/>
      </w:pPr>
      <w:r>
        <w:rPr>
          <w:rFonts w:ascii="Arial" w:cs="Arial" w:eastAsia="Arial" w:hAnsi="Arial"/>
          <w:sz w:val="24"/>
          <w:szCs w:val="24"/>
        </w:rPr>
        <w:t xml:space="preserve">- приобщение к расследуемому делу материалов о другом, ранее незарегистрированном преступлении, либо дополнительно выявленному в процессе расследования и ранее незарегистрированному преступлению;</w:t>
      </w:r>
    </w:p>
    <w:p>
      <w:pPr>
        <w:spacing w:after="120"/>
        <w:jc w:val="both"/>
      </w:pPr>
      <w:r>
        <w:rPr>
          <w:rFonts w:ascii="Arial" w:cs="Arial" w:eastAsia="Arial" w:hAnsi="Arial"/>
          <w:sz w:val="24"/>
          <w:szCs w:val="24"/>
        </w:rPr>
        <w:t xml:space="preserve">- вынесение судом обвинительного приговора, вступившего в законную силу, по делам частного обвинения;</w:t>
      </w:r>
    </w:p>
    <w:p>
      <w:pPr>
        <w:spacing w:after="120"/>
        <w:jc w:val="both"/>
      </w:pPr>
      <w:r>
        <w:rPr>
          <w:rFonts w:ascii="Arial" w:cs="Arial" w:eastAsia="Arial" w:hAnsi="Arial"/>
          <w:sz w:val="24"/>
          <w:szCs w:val="24"/>
        </w:rPr>
        <w:t xml:space="preserve">- постановление о принятии к производству уголовного дела, поступившего из компетентного органа иностранного государства;</w:t>
      </w:r>
    </w:p>
    <w:p>
      <w:pPr>
        <w:spacing w:after="120"/>
        <w:jc w:val="both"/>
      </w:pPr>
      <w:r>
        <w:rPr>
          <w:rFonts w:ascii="Arial" w:cs="Arial" w:eastAsia="Arial" w:hAnsi="Arial"/>
          <w:sz w:val="24"/>
          <w:szCs w:val="24"/>
        </w:rPr>
        <w:t xml:space="preserve">- утвержденный прокурором протокол ускоренного досудебного производства.</w:t>
      </w:r>
    </w:p>
    <w:p>
      <w:pPr>
        <w:spacing w:after="120"/>
        <w:jc w:val="both"/>
      </w:pPr>
      <w:r>
        <w:rPr>
          <w:rFonts w:ascii="Arial" w:cs="Arial" w:eastAsia="Arial" w:hAnsi="Arial"/>
          <w:sz w:val="24"/>
          <w:szCs w:val="24"/>
        </w:rPr>
        <w:t xml:space="preserve">23. Учет преступлений, а также иных объектов учета осуществляется путем заполнения судом, прокурором, следователем или должностным лицом, уполномоченным органом дознания осуществлять ускоренное досудебное производство, соответствующих документов первичного учета (статистические карточки форм №№ 1.0, 1.1, 2.0, 3, 1.П, 1.2, 2.1 и алфавитная карточка), с последующей передачей в учетно-регистрационные подразделения территориальных правоохранительных органов. Учетно-регистрационные подразделения заносят сведения с документов первичного учета в базу данных и передают эти документы в электронном и бумажном варианте в региональные подразделения правовой статистики органов прокуратуры.</w:t>
      </w:r>
    </w:p>
    <w:p>
      <w:pPr>
        <w:spacing w:after="120"/>
        <w:jc w:val="both"/>
      </w:pPr>
      <w:r>
        <w:rPr>
          <w:rFonts w:ascii="Arial" w:cs="Arial" w:eastAsia="Arial" w:hAnsi="Arial"/>
          <w:sz w:val="24"/>
          <w:szCs w:val="24"/>
        </w:rPr>
        <w:t xml:space="preserve">24. В случае, если не представляется возможным определить место совершения преступления, оно подлежит учету по месту его обнаружения (выявления). Преступления, совершенные на территории нескольких регионов республики, выявленные при расследовании уголовного дела, учитываются по месту их совершения путем направления учетных документов в подразделения правовой статистики и учетов органов прокуратуры по месту совершения каждого преступления.</w:t>
      </w:r>
    </w:p>
    <w:p>
      <w:pPr>
        <w:spacing w:after="120"/>
        <w:jc w:val="both"/>
      </w:pPr>
      <w:r>
        <w:rPr>
          <w:rFonts w:ascii="Arial" w:cs="Arial" w:eastAsia="Arial" w:hAnsi="Arial"/>
          <w:sz w:val="24"/>
          <w:szCs w:val="24"/>
        </w:rPr>
        <w:t xml:space="preserve">25. Учет преступлений, уголовные дела по которым возбуждены следователями центральных аппаратов субъектов учета, осуществляют подразделения правовой статистики и учетов органов прокуратуры по месту окончания расследования. Аналогично ведется учет преступлений, по которым приняты решения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26. Учет преступлений, расследуемых в порядке ускоренного досудебного производства, осуществляют подразделения правовой статистики и учетов органов прокуратуры по месту окончания расследования.</w:t>
      </w:r>
    </w:p>
    <w:p>
      <w:pPr>
        <w:spacing w:after="120"/>
        <w:jc w:val="both"/>
      </w:pPr>
      <w:r>
        <w:rPr>
          <w:rFonts w:ascii="Arial" w:cs="Arial" w:eastAsia="Arial" w:hAnsi="Arial"/>
          <w:sz w:val="24"/>
          <w:szCs w:val="24"/>
        </w:rPr>
        <w:t xml:space="preserve">27. Учет преступлений по уголовным делам частного обвинения, рассмотренным судами, осуществляют подразделения правовой статистики и учетов органов прокуратуры на основании документов, предоставляемых судами 1-й инстанции, согласно пункту 14 настоящего Положения.</w:t>
      </w:r>
    </w:p>
    <w:p>
      <w:pPr>
        <w:spacing w:after="120"/>
        <w:jc w:val="both"/>
      </w:pPr>
      <w:r>
        <w:rPr>
          <w:rFonts w:ascii="Arial" w:cs="Arial" w:eastAsia="Arial" w:hAnsi="Arial"/>
          <w:sz w:val="24"/>
          <w:szCs w:val="24"/>
        </w:rPr>
        <w:t xml:space="preserve">28. Учетные документы с момента принятия процессуального решения о возбуждении, о выделении, о соединении, о передаче по подследственности (территориальности) уголовного дела, о продлении, о возобновлении, приостановлении следствия по уголовному делу, об отказе в возбуждении уголовного дела по нереабилитирующим основаниям - в течение суток, об окончании следствия и направлении уголовного дела в суд, в том числе с постановлением о применении принудительных мер медицинского характера - в течение 5 суток, о прекращении уголовного дела (вместе с уголовным делом) - в течение 10 суток направляется лицом, производящим расследование, в регистрационно-учетные подразделения правоохранительных органов. Учетно-регистрационные подразделения в течение суток направляют все поступившие учетные документы в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Направление учетных документов допускается на электронных носителях либо по защищенным электронным каналам связи с одновременным направлением бумажного носителя.</w:t>
      </w:r>
    </w:p>
    <w:p>
      <w:pPr>
        <w:spacing w:after="120"/>
        <w:jc w:val="both"/>
      </w:pPr>
      <w:r>
        <w:rPr>
          <w:rFonts w:ascii="Arial" w:cs="Arial" w:eastAsia="Arial" w:hAnsi="Arial"/>
          <w:sz w:val="24"/>
          <w:szCs w:val="24"/>
        </w:rPr>
        <w:t xml:space="preserve">29. Учетно-регистрационные подразделения правоохранительных органов обязаны учитывать все поступившие учетные документы, не вправе отсрочить или исключить из учета поступившие учетные документы.</w:t>
      </w:r>
    </w:p>
    <w:p>
      <w:pPr>
        <w:spacing w:after="120"/>
        <w:jc w:val="both"/>
      </w:pPr>
      <w:r>
        <w:rPr>
          <w:rFonts w:ascii="Arial" w:cs="Arial" w:eastAsia="Arial" w:hAnsi="Arial"/>
          <w:sz w:val="24"/>
          <w:szCs w:val="24"/>
        </w:rPr>
        <w:t xml:space="preserve">В случае выявления несоответствия учетных документов материалам уголовного дела сотрудник учетно-регистрационного подразделения правоохранительного органа направляет учетные документы лицу, производившему расследование, для устранения указанных несоответствий.</w:t>
      </w:r>
    </w:p>
    <w:p>
      <w:pPr>
        <w:spacing w:after="120"/>
        <w:jc w:val="both"/>
      </w:pPr>
      <w:r>
        <w:rPr>
          <w:rFonts w:ascii="Arial" w:cs="Arial" w:eastAsia="Arial" w:hAnsi="Arial"/>
          <w:sz w:val="24"/>
          <w:szCs w:val="24"/>
        </w:rPr>
        <w:t xml:space="preserve">При невозможности учитывания, учетный документ может быть возвращен сотрудником учетно-регистрационного подразделения правоохранительного органа для дооформления, с обеспечением контроля за повторным представлением учетного документа в суточный срок.</w:t>
      </w:r>
    </w:p>
    <w:p>
      <w:pPr>
        <w:spacing w:after="120"/>
        <w:jc w:val="both"/>
      </w:pPr>
      <w:r>
        <w:rPr>
          <w:rFonts w:ascii="Arial" w:cs="Arial" w:eastAsia="Arial" w:hAnsi="Arial"/>
          <w:sz w:val="24"/>
          <w:szCs w:val="24"/>
        </w:rPr>
        <w:t xml:space="preserve">По завершении отчетного периода сотрудник учетно-регистрационного подразделения правоохранительного органа проводит сверку имеющихся данных с местными судами о результатах рассмотрения уголовных дел.</w:t>
      </w:r>
    </w:p>
    <w:p>
      <w:pPr>
        <w:spacing w:after="120"/>
        <w:jc w:val="both"/>
      </w:pPr>
      <w:r>
        <w:rPr>
          <w:rFonts w:ascii="Arial" w:cs="Arial" w:eastAsia="Arial" w:hAnsi="Arial"/>
          <w:sz w:val="24"/>
          <w:szCs w:val="24"/>
        </w:rPr>
        <w:t xml:space="preserve">30. При предоставлении учетных документов, в которых усматриваются нарушения пункта 32 настоящего Положения, сотрудник подразделения правовой статистики и учетов органов прокуратуры снимает с учета данные учетные документы.</w:t>
      </w:r>
    </w:p>
    <w:p>
      <w:pPr>
        <w:spacing w:after="120"/>
        <w:jc w:val="both"/>
      </w:pPr>
      <w:r>
        <w:rPr>
          <w:rFonts w:ascii="Arial" w:cs="Arial" w:eastAsia="Arial" w:hAnsi="Arial"/>
          <w:sz w:val="24"/>
          <w:szCs w:val="24"/>
        </w:rPr>
        <w:t xml:space="preserve">31. Учетные документы хранятся в подразделениях правовой статистики и учетов органов прокуратуры не менее года после составления на их основе статистической отчетности при условии, что расследование уголовного дела прекращено производством либо окончено и уголовные дела рассмотрены судом и поступили сведения о результатах их рассмотрения, за исключением учетных документов по уголовным делам, приостановленных в соответствии с пунктами 1, 2, 3 и 4 части 1 статьи 221 УПК Кыргызской Республики, которые должны храниться постоянно.</w:t>
      </w:r>
    </w:p>
    <w:p>
      <w:pPr>
        <w:spacing w:after="120"/>
        <w:jc w:val="both"/>
      </w:pPr>
      <w:r>
        <w:rPr>
          <w:rFonts w:ascii="Arial" w:cs="Arial" w:eastAsia="Arial" w:hAnsi="Arial"/>
          <w:sz w:val="24"/>
          <w:szCs w:val="24"/>
        </w:rPr>
        <w:t xml:space="preserve">32. Учитывается как одно преступление:</w:t>
      </w:r>
    </w:p>
    <w:p>
      <w:pPr>
        <w:spacing w:after="120"/>
        <w:jc w:val="both"/>
      </w:pPr>
      <w:r>
        <w:rPr>
          <w:rFonts w:ascii="Arial" w:cs="Arial" w:eastAsia="Arial" w:hAnsi="Arial"/>
          <w:sz w:val="24"/>
          <w:szCs w:val="24"/>
        </w:rPr>
        <w:t xml:space="preserve">1) совершенные несколькими лицами в соучастии (статья 30 Уголовного </w:t>
      </w:r>
      <w:hyperlink w:history="1" r:id="rIdrih5jx69yppcw7m7y05g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УК Кыргызской Республики) при условии отсутствия эксцесса исполнителя;</w:t>
      </w:r>
    </w:p>
    <w:p>
      <w:pPr>
        <w:spacing w:after="120"/>
        <w:jc w:val="both"/>
      </w:pPr>
      <w:r>
        <w:rPr>
          <w:rFonts w:ascii="Arial" w:cs="Arial" w:eastAsia="Arial" w:hAnsi="Arial"/>
          <w:sz w:val="24"/>
          <w:szCs w:val="24"/>
        </w:rPr>
        <w:t xml:space="preserve">2) составные преступления, состоящие из двух или более самостоятельных деяний, описываемых диспозицией одной статьи (ее части), когда они квалифицируются как одно преступление (например, хулиганство, сопряженное с умышленным уничтожением или повреждением чужого имущества, причинившие существенный вред; превышение должностных полномочий с применением оружия или специальных средств и другие);</w:t>
      </w:r>
    </w:p>
    <w:p>
      <w:pPr>
        <w:spacing w:after="120"/>
        <w:jc w:val="both"/>
      </w:pPr>
      <w:r>
        <w:rPr>
          <w:rFonts w:ascii="Arial" w:cs="Arial" w:eastAsia="Arial" w:hAnsi="Arial"/>
          <w:sz w:val="24"/>
          <w:szCs w:val="24"/>
        </w:rPr>
        <w:t xml:space="preserve">3) одно преступное деяние, в результате которого потерпевшими оказываются несколько лиц (например, кража из одного помещения вещей, ценностей, денег и т.п., принадлежащих разным лицам (жильцам); мошенничество, когда лицо (группа лиц) путем одного преступного действия (созданием финансовых пирамид, лжефирм, оказывающих услуги по отправке граждан в другие государства на работу и т.п.) завладевают имуществом (деньгами, ценными бумагами и пр.) независимо от их количества и суммы причиненного ущерба;</w:t>
      </w:r>
    </w:p>
    <w:p>
      <w:pPr>
        <w:spacing w:after="120"/>
        <w:jc w:val="both"/>
      </w:pPr>
      <w:r>
        <w:rPr>
          <w:rFonts w:ascii="Arial" w:cs="Arial" w:eastAsia="Arial" w:hAnsi="Arial"/>
          <w:sz w:val="24"/>
          <w:szCs w:val="24"/>
        </w:rPr>
        <w:t xml:space="preserve">4) длящееся преступление, то есть совершение одного преступного деяния в течение определенного периода времени (например, незаконное хранение или ношение огнестрельного оружия; незаконное хранение или сбыт наркотических средств, психотропных веществ и прекурсоров, при условии, если следственными органами не доказано, что наркотические средства, психотропные вещества и прекурсоры принадлежат разным лицам и приобретены из разных источников);</w:t>
      </w:r>
    </w:p>
    <w:p>
      <w:pPr>
        <w:spacing w:after="120"/>
        <w:jc w:val="both"/>
      </w:pPr>
      <w:r>
        <w:rPr>
          <w:rFonts w:ascii="Arial" w:cs="Arial" w:eastAsia="Arial" w:hAnsi="Arial"/>
          <w:sz w:val="24"/>
          <w:szCs w:val="24"/>
        </w:rPr>
        <w:t xml:space="preserve">5) продолжаемое преступление, то есть преступление, складывающееся из ряда юридически тождественных деяний (действий или бездействия), направленных к единой цели, объединенные единым умыслом, единством объекта посягательства, возможных преступных последствий и квалифицируемых как одно преступление (например, присвоение или растрата вверенного имущества, а также хищение чужого имущества путем злоупотребления должностного лица, с использованием служебного положения, состоящее из неоднократного безвозмездного изъятия имущества, складывающееся из ряда тождественных преступных действий, имеющих общую цель незаконного завладения имуществом);</w:t>
      </w:r>
    </w:p>
    <w:p>
      <w:pPr>
        <w:spacing w:after="120"/>
        <w:jc w:val="both"/>
      </w:pPr>
      <w:r>
        <w:rPr>
          <w:rFonts w:ascii="Arial" w:cs="Arial" w:eastAsia="Arial" w:hAnsi="Arial"/>
          <w:sz w:val="24"/>
          <w:szCs w:val="24"/>
        </w:rPr>
        <w:t xml:space="preserve">6) совершение составных преступлений, состоящих из двух или более самостоятельных деяний, описываемых диспозицией одной статьи (ее части), когда они квалифицируются как одно преступление (идеальная совокупность), при этом учитывается наиболее тяжкое преступление (например, кража с незаконным проникновением, путем взлома дверей, хулиганство с нанесением побоев или причинением вреда здоровью).</w:t>
      </w:r>
    </w:p>
    <w:p>
      <w:pPr>
        <w:spacing w:after="120"/>
        <w:jc w:val="both"/>
      </w:pPr>
      <w:r>
        <w:rPr>
          <w:rFonts w:ascii="Arial" w:cs="Arial" w:eastAsia="Arial" w:hAnsi="Arial"/>
          <w:sz w:val="24"/>
          <w:szCs w:val="24"/>
        </w:rPr>
        <w:t xml:space="preserve">33. Учитываются как два и более преступлений:</w:t>
      </w:r>
    </w:p>
    <w:p>
      <w:pPr>
        <w:spacing w:after="120"/>
        <w:jc w:val="both"/>
      </w:pPr>
      <w:r>
        <w:rPr>
          <w:rFonts w:ascii="Arial" w:cs="Arial" w:eastAsia="Arial" w:hAnsi="Arial"/>
          <w:sz w:val="24"/>
          <w:szCs w:val="24"/>
        </w:rPr>
        <w:t xml:space="preserve">1) совершение двух или более преступлений, ни за одно из которых лица не были осуждены (реальная совокупность - часть 1 статьи 15 УК Кыргызской Республики, например, убийство, совершенное при терроризме, поджог с целью сокрытия другого преступления), а также действия (или бездействие), содержащие признаки преступлений, предусмотренных двумя или более статьями </w:t>
      </w:r>
      <w:hyperlink w:history="1" r:id="rIduk1cup6et7meqi6wve9xa">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одновременное совершение несколькими лицами без предварительного сговора преступлений, квалифицированных по одной статье </w:t>
      </w:r>
      <w:hyperlink w:history="1" r:id="rIdf5gvdv2qvcky-2eki-kn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когда каждый участник действовал независимо друг от друга;</w:t>
      </w:r>
    </w:p>
    <w:p>
      <w:pPr>
        <w:spacing w:after="120"/>
        <w:jc w:val="both"/>
      </w:pPr>
      <w:r>
        <w:rPr>
          <w:rFonts w:ascii="Arial" w:cs="Arial" w:eastAsia="Arial" w:hAnsi="Arial"/>
          <w:sz w:val="24"/>
          <w:szCs w:val="24"/>
        </w:rPr>
        <w:t xml:space="preserve">3) совершение исполнителем преступления, не охватывающегося умыслом других соучастников (эксцесс исполнителя - статья 32 </w:t>
      </w:r>
      <w:hyperlink w:history="1" r:id="rId-jp-rhyiyfobs0qwijr1_">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совершение двух и более тождественных преступлений, если они не являются эпизодами единого продолжаемого преступления.</w:t>
      </w:r>
    </w:p>
    <w:p>
      <w:pPr>
        <w:spacing w:after="120"/>
        <w:jc w:val="both"/>
      </w:pPr>
      <w:r>
        <w:rPr>
          <w:rFonts w:ascii="Arial" w:cs="Arial" w:eastAsia="Arial" w:hAnsi="Arial"/>
          <w:sz w:val="24"/>
          <w:szCs w:val="24"/>
        </w:rPr>
        <w:t xml:space="preserve">Особенности учета отдельных составов преступлений определяются Генеральной прокуратурой Кыргызской Республики по согласованию с заинтересованными органами государственной власти.</w:t>
      </w:r>
    </w:p>
    <w:p>
      <w:pPr>
        <w:spacing w:after="120"/>
        <w:jc w:val="both"/>
      </w:pPr>
      <w:r>
        <w:rPr>
          <w:rFonts w:ascii="Arial" w:cs="Arial" w:eastAsia="Arial" w:hAnsi="Arial"/>
          <w:sz w:val="24"/>
          <w:szCs w:val="24"/>
        </w:rPr>
        <w:t xml:space="preserve">34. Подлежат снятию с учета преступления, уголовные дела и дела ускоренного досудебного производства, прекращенные по реабилитирующим основаниям либо в случаях вынесения оправдательного приговора по следующим основаниям:</w:t>
      </w:r>
    </w:p>
    <w:p>
      <w:pPr>
        <w:spacing w:after="120"/>
        <w:jc w:val="both"/>
      </w:pPr>
      <w:r>
        <w:rPr>
          <w:rFonts w:ascii="Arial" w:cs="Arial" w:eastAsia="Arial" w:hAnsi="Arial"/>
          <w:sz w:val="24"/>
          <w:szCs w:val="24"/>
        </w:rPr>
        <w:t xml:space="preserve">- за отсутствием события преступления (пункт 1 части 1 статьи 28 </w:t>
      </w:r>
      <w:hyperlink w:history="1" r:id="rId00mq68gwhhwnyacmvs8n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 отсутствием в деянии состава преступления (пункт 2 части 1 статьи 28 </w:t>
      </w:r>
      <w:hyperlink w:history="1" r:id="rIdpnvx0ima-zszkazeowy2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 правомерностью деяния, причинившего вред в силу уголовного закона (пункт 3 части 1 статьи 28 </w:t>
      </w:r>
      <w:hyperlink w:history="1" r:id="rIdssq4r3cyuht_ccmh2g9a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 отсутствием жалобы потерпевшего (пункт 4 части 1 статьи 28 УПК Кыргызской Республики), за исключением случаев возбуждения уголовного дела по инициативе прокурора и следователя в порядке части 2 статьи 159 </w:t>
      </w:r>
      <w:hyperlink w:history="1" r:id="rId7pzig_bizfcpcdnjqi3j5">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имеются вступивший в законную силу приговор суда по тому же обвинению либо иное неотмененное судебное решение, установившие невозможность уголовного преследования (пункт 5 части 1 статьи 28 УПК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имеется неотмененное постановление следователя, прокурора о прекращении дела по тому же деянию (пункт 6 части 1 статьи 28 </w:t>
      </w:r>
      <w:hyperlink w:history="1" r:id="rIdlxqt6lwzuqpxicky3kha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связи с добровольным отказом лица от доведения преступления до конца (пункт 8 части 1 статьи 28 </w:t>
      </w:r>
      <w:hyperlink w:history="1" r:id="rId9nzoojzcjn3jtvkgungm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преступления по уголовным делам, по которым судом вынесен оправдательный приговор (за исключением пункта 3 части 1 статьи 316 УПК Кыргызской Республики).</w:t>
      </w:r>
    </w:p>
    <w:p>
      <w:pPr>
        <w:spacing w:after="120"/>
        <w:jc w:val="both"/>
      </w:pPr>
      <w:r>
        <w:rPr>
          <w:rFonts w:ascii="Arial" w:cs="Arial" w:eastAsia="Arial" w:hAnsi="Arial"/>
          <w:sz w:val="24"/>
          <w:szCs w:val="24"/>
        </w:rPr>
        <w:t xml:space="preserve">35. Преступления с учета не снимаются в случаях:</w:t>
      </w:r>
    </w:p>
    <w:p>
      <w:pPr>
        <w:spacing w:after="120"/>
        <w:jc w:val="both"/>
      </w:pPr>
      <w:r>
        <w:rPr>
          <w:rFonts w:ascii="Arial" w:cs="Arial" w:eastAsia="Arial" w:hAnsi="Arial"/>
          <w:sz w:val="24"/>
          <w:szCs w:val="24"/>
        </w:rPr>
        <w:t xml:space="preserve">- передачи уголовного дела для соединения с другим уголовным делом в отношении одного и того же лица;</w:t>
      </w:r>
    </w:p>
    <w:p>
      <w:pPr>
        <w:spacing w:after="120"/>
        <w:jc w:val="both"/>
      </w:pPr>
      <w:r>
        <w:rPr>
          <w:rFonts w:ascii="Arial" w:cs="Arial" w:eastAsia="Arial" w:hAnsi="Arial"/>
          <w:sz w:val="24"/>
          <w:szCs w:val="24"/>
        </w:rPr>
        <w:t xml:space="preserve">- передачи уголовного дела для дальнейшего его расследования в следственные подразделения центральных аппаратов;</w:t>
      </w:r>
    </w:p>
    <w:p>
      <w:pPr>
        <w:spacing w:after="120"/>
        <w:jc w:val="both"/>
      </w:pPr>
      <w:r>
        <w:rPr>
          <w:rFonts w:ascii="Arial" w:cs="Arial" w:eastAsia="Arial" w:hAnsi="Arial"/>
          <w:sz w:val="24"/>
          <w:szCs w:val="24"/>
        </w:rPr>
        <w:t xml:space="preserve">- передачи уголовного дела надзирающему прокурору;</w:t>
      </w:r>
    </w:p>
    <w:p>
      <w:pPr>
        <w:spacing w:after="120"/>
        <w:jc w:val="both"/>
      </w:pPr>
      <w:r>
        <w:rPr>
          <w:rFonts w:ascii="Arial" w:cs="Arial" w:eastAsia="Arial" w:hAnsi="Arial"/>
          <w:sz w:val="24"/>
          <w:szCs w:val="24"/>
        </w:rPr>
        <w:t xml:space="preserve">- прекращение уголовного дела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прекращение уголовного дела из-за отсутствия достаточных доказательств, указывающих на совершение преступления обвиняемым, если исчерпаны все возможности для сбора дополнительных доказательств (пункт 2 части 1 статьи 225 </w:t>
      </w:r>
      <w:hyperlink w:history="1" r:id="rIddsis65d7lymfzwrk0wvu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вынесения судом оправдательного приговора за недоказанностью участия подсудимого в совершении преступления (пункт 3 части 1 статьи 316 УПК Кыргызской Республики).</w:t>
      </w:r>
    </w:p>
    <w:p>
      <w:pPr>
        <w:spacing w:after="120"/>
        <w:jc w:val="both"/>
      </w:pPr>
      <w:r>
        <w:rPr>
          <w:rFonts w:ascii="Arial" w:cs="Arial" w:eastAsia="Arial" w:hAnsi="Arial"/>
          <w:sz w:val="24"/>
          <w:szCs w:val="24"/>
        </w:rPr>
        <w:t xml:space="preserve">36. По решению надзирающего прокурора подлежат снятию с учета учтенные как отдельные преступления эпизоды преступного деяния, в которых не усматривается самостоятельный состав преступления и по которым не выносилось постановление об отказе в возбуждении уголовного дела по нереабилитирующим основаниям. При этом в учетных документах в качестве основания снятия с учета преступления как объекта учета, указывается отсутствие состава преступления (пункт 2 части 1 статьи 28 УПК Кыргызской Республики).</w:t>
      </w:r>
    </w:p>
    <w:p>
      <w:pPr>
        <w:spacing w:after="120"/>
        <w:jc w:val="both"/>
      </w:pPr>
      <w:r>
        <w:rPr>
          <w:rFonts w:ascii="Arial" w:cs="Arial" w:eastAsia="Arial" w:hAnsi="Arial"/>
          <w:sz w:val="24"/>
          <w:szCs w:val="24"/>
        </w:rPr>
        <w:t xml:space="preserve">37. При поступлении уголовного дела из компетентного органа иностранного государства учет преступлений и других объектов учета производит орган, принявший уголовное дело к производству. Уголовные дела, поступившие для производства расследования, регистрируются также, как и вновь возбужденные уголовные дела, и присваивается новый регистрационный номер.</w:t>
      </w:r>
    </w:p>
    <w:p>
      <w:pPr>
        <w:spacing w:after="120"/>
        <w:jc w:val="both"/>
      </w:pPr>
      <w:r>
        <w:rPr>
          <w:rFonts w:ascii="Arial" w:cs="Arial" w:eastAsia="Arial" w:hAnsi="Arial"/>
          <w:sz w:val="24"/>
          <w:szCs w:val="24"/>
        </w:rPr>
        <w:t xml:space="preserve">38. При направлении уголовного дела в компетентные органы иностранных государств для осуществления уголовного преследования объекты учета не снимаются с учета.</w:t>
      </w:r>
    </w:p>
    <w:p>
      <w:pPr>
        <w:spacing w:after="120"/>
        <w:jc w:val="both"/>
      </w:pPr>
      <w:r>
        <w:rPr>
          <w:rFonts w:ascii="Arial" w:cs="Arial" w:eastAsia="Arial" w:hAnsi="Arial"/>
          <w:sz w:val="24"/>
          <w:szCs w:val="24"/>
        </w:rPr>
        <w:t xml:space="preserve">39. Спорные вопросы при учете преступлений и других объектов учета, составлении учетных документов разрешаются соответствующим надзирающим прокурором.</w:t>
      </w:r>
    </w:p>
    <w:p>
      <w:pPr>
        <w:spacing w:after="120"/>
        <w:jc w:val="both"/>
      </w:pPr>
      <w:r>
        <w:rPr>
          <w:rFonts w:ascii="Arial" w:cs="Arial" w:eastAsia="Arial" w:hAnsi="Arial"/>
          <w:sz w:val="24"/>
          <w:szCs w:val="24"/>
        </w:rPr>
        <w:t xml:space="preserve">40. Следователь, прокурор после принятия решения о возбуждении уголовного дела согласно УПК Кыргызской Республики составляет учетные документы на все выявленные преступления независимо от того, квалифицированы они по одной или нескольким статьям УК Кыргызской Республики.</w:t>
      </w:r>
    </w:p>
    <w:p>
      <w:pPr>
        <w:spacing w:after="120"/>
        <w:jc w:val="both"/>
      </w:pPr>
      <w:r>
        <w:rPr>
          <w:rFonts w:ascii="Arial" w:cs="Arial" w:eastAsia="Arial" w:hAnsi="Arial"/>
          <w:sz w:val="24"/>
          <w:szCs w:val="24"/>
        </w:rPr>
        <w:t xml:space="preserve">41. В случае возбуждения уголовного дела по преступлению, выявленному в процессе расследования, его регистрация и учет осуществляются в соответствии с настоящим Положением.</w:t>
      </w:r>
    </w:p>
    <w:p>
      <w:pPr>
        <w:spacing w:after="120"/>
        <w:jc w:val="both"/>
      </w:pPr>
      <w:r>
        <w:rPr>
          <w:rFonts w:ascii="Arial" w:cs="Arial" w:eastAsia="Arial" w:hAnsi="Arial"/>
          <w:sz w:val="24"/>
          <w:szCs w:val="24"/>
        </w:rPr>
        <w:t xml:space="preserve">42. Если прокурор при утверждении обвинительного заключения либо прекращении уголовного дела установит, что следователем или должностным лицом, уполномоченным органом дознания осуществлять ускоренное досудебное производство, учтены не все преступления, он вправе лично составить на них учетные документы либо дать соответствующее указание следователю или должностному лицу, уполномоченному органом дознания осуществлять ускоренное досудебное производство.</w:t>
      </w:r>
    </w:p>
    <w:p>
      <w:pPr>
        <w:spacing w:after="120"/>
        <w:jc w:val="both"/>
      </w:pPr>
      <w:r>
        <w:rPr>
          <w:rFonts w:ascii="Arial" w:cs="Arial" w:eastAsia="Arial" w:hAnsi="Arial"/>
          <w:sz w:val="24"/>
          <w:szCs w:val="24"/>
        </w:rPr>
        <w:t xml:space="preserve">Глава 5. Учет лиц, совершивших преступления</w:t>
      </w:r>
    </w:p>
    <w:p>
      <w:pPr>
        <w:spacing w:after="120"/>
        <w:jc w:val="both"/>
      </w:pPr>
      <w:r>
        <w:rPr>
          <w:rFonts w:ascii="Arial" w:cs="Arial" w:eastAsia="Arial" w:hAnsi="Arial"/>
          <w:sz w:val="24"/>
          <w:szCs w:val="24"/>
        </w:rPr>
        <w:t xml:space="preserve">43. Учету подлежат все лица, в отношении которых:</w:t>
      </w:r>
    </w:p>
    <w:p>
      <w:pPr>
        <w:spacing w:after="120"/>
        <w:jc w:val="both"/>
      </w:pPr>
      <w:r>
        <w:rPr>
          <w:rFonts w:ascii="Arial" w:cs="Arial" w:eastAsia="Arial" w:hAnsi="Arial"/>
          <w:sz w:val="24"/>
          <w:szCs w:val="24"/>
        </w:rPr>
        <w:t xml:space="preserve">- вынесено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вынесено постановление о прекращении уголовного дела или уголовного преследования по нереабилитирующим основаниям;</w:t>
      </w:r>
    </w:p>
    <w:p>
      <w:pPr>
        <w:spacing w:after="120"/>
        <w:jc w:val="both"/>
      </w:pPr>
      <w:r>
        <w:rPr>
          <w:rFonts w:ascii="Arial" w:cs="Arial" w:eastAsia="Arial" w:hAnsi="Arial"/>
          <w:sz w:val="24"/>
          <w:szCs w:val="24"/>
        </w:rPr>
        <w:t xml:space="preserve">- утвержден прокурором протокол ускоренного досудебного производства;</w:t>
      </w:r>
    </w:p>
    <w:p>
      <w:pPr>
        <w:spacing w:after="120"/>
        <w:jc w:val="both"/>
      </w:pPr>
      <w:r>
        <w:rPr>
          <w:rFonts w:ascii="Arial" w:cs="Arial" w:eastAsia="Arial" w:hAnsi="Arial"/>
          <w:sz w:val="24"/>
          <w:szCs w:val="24"/>
        </w:rPr>
        <w:t xml:space="preserve">- уголовное дело направлено прокурором в суд с обвинительным заключением;</w:t>
      </w:r>
    </w:p>
    <w:p>
      <w:pPr>
        <w:spacing w:after="120"/>
        <w:jc w:val="both"/>
      </w:pPr>
      <w:r>
        <w:rPr>
          <w:rFonts w:ascii="Arial" w:cs="Arial" w:eastAsia="Arial" w:hAnsi="Arial"/>
          <w:sz w:val="24"/>
          <w:szCs w:val="24"/>
        </w:rPr>
        <w:t xml:space="preserve">- вынесен обвинительный приговор по уголовному делу частного обвинения.</w:t>
      </w:r>
    </w:p>
    <w:p>
      <w:pPr>
        <w:spacing w:after="120"/>
        <w:jc w:val="both"/>
      </w:pPr>
      <w:r>
        <w:rPr>
          <w:rFonts w:ascii="Arial" w:cs="Arial" w:eastAsia="Arial" w:hAnsi="Arial"/>
          <w:sz w:val="24"/>
          <w:szCs w:val="24"/>
        </w:rPr>
        <w:t xml:space="preserve">44. Основания учета лица, совершившего преступление:</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постановление о прекращении уголовного дела или уголовного преследования (по нереабилитирующим основаниям);</w:t>
      </w:r>
    </w:p>
    <w:p>
      <w:pPr>
        <w:spacing w:after="120"/>
        <w:jc w:val="both"/>
      </w:pPr>
      <w:r>
        <w:rPr>
          <w:rFonts w:ascii="Arial" w:cs="Arial" w:eastAsia="Arial" w:hAnsi="Arial"/>
          <w:sz w:val="24"/>
          <w:szCs w:val="24"/>
        </w:rPr>
        <w:t xml:space="preserve">- утвержденный прокурором протокол ускоренного досудебного производства;</w:t>
      </w:r>
    </w:p>
    <w:p>
      <w:pPr>
        <w:spacing w:after="120"/>
        <w:jc w:val="both"/>
      </w:pPr>
      <w:r>
        <w:rPr>
          <w:rFonts w:ascii="Arial" w:cs="Arial" w:eastAsia="Arial" w:hAnsi="Arial"/>
          <w:sz w:val="24"/>
          <w:szCs w:val="24"/>
        </w:rPr>
        <w:t xml:space="preserve">- обвинительное заключение;</w:t>
      </w:r>
    </w:p>
    <w:p>
      <w:pPr>
        <w:spacing w:after="120"/>
        <w:jc w:val="both"/>
      </w:pPr>
      <w:r>
        <w:rPr>
          <w:rFonts w:ascii="Arial" w:cs="Arial" w:eastAsia="Arial" w:hAnsi="Arial"/>
          <w:sz w:val="24"/>
          <w:szCs w:val="24"/>
        </w:rPr>
        <w:t xml:space="preserve">- обвинительный приговор по делу частного обвинения, вступивший в законную силу.</w:t>
      </w:r>
    </w:p>
    <w:p>
      <w:pPr>
        <w:spacing w:after="120"/>
        <w:jc w:val="both"/>
      </w:pPr>
      <w:r>
        <w:rPr>
          <w:rFonts w:ascii="Arial" w:cs="Arial" w:eastAsia="Arial" w:hAnsi="Arial"/>
          <w:sz w:val="24"/>
          <w:szCs w:val="24"/>
        </w:rPr>
        <w:t xml:space="preserve">45. На лицо, совершившее несколько преступлений, уголовные дела о которых объединены в одно производство, составляется один учетный документ с указанием всех совершенных им преступлений.</w:t>
      </w:r>
    </w:p>
    <w:p>
      <w:pPr>
        <w:spacing w:after="120"/>
        <w:jc w:val="both"/>
      </w:pPr>
      <w:r>
        <w:rPr>
          <w:rFonts w:ascii="Arial" w:cs="Arial" w:eastAsia="Arial" w:hAnsi="Arial"/>
          <w:sz w:val="24"/>
          <w:szCs w:val="24"/>
        </w:rPr>
        <w:t xml:space="preserve">На лиц, совершивших два и более преступлений в течение одного отчетного года и привлекающихся к ответственности по двум и более уголовным делам, расследование по которым проводилось независимо друг от друга, составляется два и более учетных документа.</w:t>
      </w:r>
    </w:p>
    <w:p>
      <w:pPr>
        <w:spacing w:after="120"/>
        <w:jc w:val="both"/>
      </w:pPr>
      <w:r>
        <w:rPr>
          <w:rFonts w:ascii="Arial" w:cs="Arial" w:eastAsia="Arial" w:hAnsi="Arial"/>
          <w:sz w:val="24"/>
          <w:szCs w:val="24"/>
        </w:rPr>
        <w:t xml:space="preserve">46. Снятию с учета подлежит лицо, в отношении которого прекращено уголовное дело по реабилитирующим основаниям либо вынесен оправдательный приговор по следующим основаниям:</w:t>
      </w:r>
    </w:p>
    <w:p>
      <w:pPr>
        <w:spacing w:after="120"/>
        <w:jc w:val="both"/>
      </w:pPr>
      <w:r>
        <w:rPr>
          <w:rFonts w:ascii="Arial" w:cs="Arial" w:eastAsia="Arial" w:hAnsi="Arial"/>
          <w:sz w:val="24"/>
          <w:szCs w:val="24"/>
        </w:rPr>
        <w:t xml:space="preserve">- за отсутствием события преступления (пункт 1 части 1 статьи 28 УПК Кыргызской Республики);</w:t>
      </w:r>
    </w:p>
    <w:p>
      <w:pPr>
        <w:spacing w:after="120"/>
        <w:jc w:val="both"/>
      </w:pPr>
      <w:r>
        <w:rPr>
          <w:rFonts w:ascii="Arial" w:cs="Arial" w:eastAsia="Arial" w:hAnsi="Arial"/>
          <w:sz w:val="24"/>
          <w:szCs w:val="24"/>
        </w:rPr>
        <w:t xml:space="preserve">- за отсутствием в деянии состава преступления (пункт 2 части 1 статьи 28 УПК Кыргызской Республики);</w:t>
      </w:r>
    </w:p>
    <w:p>
      <w:pPr>
        <w:spacing w:after="120"/>
        <w:jc w:val="both"/>
      </w:pPr>
      <w:r>
        <w:rPr>
          <w:rFonts w:ascii="Arial" w:cs="Arial" w:eastAsia="Arial" w:hAnsi="Arial"/>
          <w:sz w:val="24"/>
          <w:szCs w:val="24"/>
        </w:rPr>
        <w:t xml:space="preserve">- за правомерностью деяния, причинившего вред в силу уголовного закона (пункт 3 части 1 статьи 28 </w:t>
      </w:r>
      <w:hyperlink w:history="1" r:id="rId6_evbpjqihjm9kebjs-f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 отсутствием жалобы потерпевшего (пункт 4 части 1 статьи 28 УПК Кыргызской Республики), за исключением случаев возбуждения уголовного дела по инициативе прокурора и следователя в порядке части 2 статьи 159 УПК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 (пункт 5 части 1 статьи 28 УПК Кыргызской Республики);</w:t>
      </w:r>
    </w:p>
    <w:p>
      <w:pPr>
        <w:spacing w:after="120"/>
        <w:jc w:val="both"/>
      </w:pPr>
      <w:r>
        <w:rPr>
          <w:rFonts w:ascii="Arial" w:cs="Arial" w:eastAsia="Arial" w:hAnsi="Arial"/>
          <w:sz w:val="24"/>
          <w:szCs w:val="24"/>
        </w:rPr>
        <w:t xml:space="preserve">- в связи с тем, что в отношении данного лица имеется неотмененное постановление следователя, прокурора о прекращении дела по тому же деянию (пункт 6 части 1 статьи 28 УПК Кыргызской Республики);</w:t>
      </w:r>
    </w:p>
    <w:p>
      <w:pPr>
        <w:spacing w:after="120"/>
        <w:jc w:val="both"/>
      </w:pPr>
      <w:r>
        <w:rPr>
          <w:rFonts w:ascii="Arial" w:cs="Arial" w:eastAsia="Arial" w:hAnsi="Arial"/>
          <w:sz w:val="24"/>
          <w:szCs w:val="24"/>
        </w:rPr>
        <w:t xml:space="preserve">- в связи с добровольным отказом лица от доведения преступления до конца (пункт 8 части 1 статьи 28 УПК Кыргызской Республики);</w:t>
      </w:r>
    </w:p>
    <w:p>
      <w:pPr>
        <w:spacing w:after="120"/>
        <w:jc w:val="both"/>
      </w:pPr>
      <w:r>
        <w:rPr>
          <w:rFonts w:ascii="Arial" w:cs="Arial" w:eastAsia="Arial" w:hAnsi="Arial"/>
          <w:sz w:val="24"/>
          <w:szCs w:val="24"/>
        </w:rPr>
        <w:t xml:space="preserve">- при отсутствии достаточных доказательств, указывающих на совершение преступления обвиняемым, если исчерпаны все возможности для сбора дополнительных доказательств (пункт 2 части 1 статьи 225 УПК Кыргызской Республики);</w:t>
      </w:r>
    </w:p>
    <w:p>
      <w:pPr>
        <w:spacing w:after="120"/>
        <w:jc w:val="both"/>
      </w:pPr>
      <w:r>
        <w:rPr>
          <w:rFonts w:ascii="Arial" w:cs="Arial" w:eastAsia="Arial" w:hAnsi="Arial"/>
          <w:sz w:val="24"/>
          <w:szCs w:val="24"/>
        </w:rPr>
        <w:t xml:space="preserve">- вынесен оправдательный приговор в соответствии с требованиями статьи 316 </w:t>
      </w:r>
      <w:hyperlink w:history="1" r:id="rIdzh8cgc-uaoc5wjuzakfe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47. При наличии оснований, указанных в пункте 44 настоящего Положения, следователь, должностное лицо, уполномоченное органом дознания осуществлять ускоренное досудебное производство, и прокурор немедленно заполняют статистическую карточку формы № 2.0 и алфавитную карточку на лицо, совершившее преступление. Карточки, заполненные и подписанные следователем, должностным лицом, уполномоченным органом дознания осуществлять ускоренное досудебное производство, руководителем соответствующего правоохранительного органа и прокурором, сдаются в учетно-регистрационное подразделение того органа, где проводилось расследование. Статистическая карточка формы № 2.0 обязательно должна сдаваться вместе со статистическими карточками формы № 1.1 и алфавитной карточкой на обвиняемого.</w:t>
      </w:r>
    </w:p>
    <w:p>
      <w:pPr>
        <w:spacing w:after="120"/>
        <w:jc w:val="both"/>
      </w:pPr>
      <w:r>
        <w:rPr>
          <w:rFonts w:ascii="Arial" w:cs="Arial" w:eastAsia="Arial" w:hAnsi="Arial"/>
          <w:sz w:val="24"/>
          <w:szCs w:val="24"/>
        </w:rPr>
        <w:t xml:space="preserve">48. Статистическая карточка формы № 2.0 заполняется на каждое лицо, совершившее преступление. Если лицо совершило несколько преступлений, то на него составляется одна карточка с указанием всех статей </w:t>
      </w:r>
      <w:hyperlink w:history="1" r:id="rId3ijuzovwxy_vimc2zdprc">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по которым предъявлено обвинение. В этом случае обвинение в отчетности отражается по более тяжкому преступлению.</w:t>
      </w:r>
    </w:p>
    <w:p>
      <w:pPr>
        <w:spacing w:after="120"/>
        <w:jc w:val="both"/>
      </w:pPr>
      <w:r>
        <w:rPr>
          <w:rFonts w:ascii="Arial" w:cs="Arial" w:eastAsia="Arial" w:hAnsi="Arial"/>
          <w:sz w:val="24"/>
          <w:szCs w:val="24"/>
        </w:rPr>
        <w:t xml:space="preserve">Глава 6. Регистрация и учет уголовных дел, принятых по ним процессуальных решений, а также материалов доследственных проверок, по которым вынесено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49. Сведения о возбужденных уголовных делах и материалах доследственных проверок, по которым вынесено постановление об отказе в возбуждении уголовного дела по нереабилитирующим основаниям, не позднее 24 часов с момента поступления регистрируются в Едином журнале учета преступлений, лиц их совершивших, и движения уголовных дел (далее - Единый журнал) органа, принявшего решение о возбуждении уголовного дела либо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Следователь, должностное лицо, уполномоченное органом дознания осуществлять ускоренное досудебное производство, с представлением учетных документов на совершенное преступление получает в учетно-регистрационном подразделении порядковый номер уголовного дела, в том числе по материалам доследственных проверок, по которым вынесено постановление об отказе в возбуждении уголовного дела по нереабилитирующим основаниям (с указанием номера отказного материала в Едином журнале и в статистических карточках форм №№ 1.0, 1.П, 1.1, 2.0 и алфавитной карточке).</w:t>
      </w:r>
    </w:p>
    <w:p>
      <w:pPr>
        <w:spacing w:after="120"/>
        <w:jc w:val="both"/>
      </w:pPr>
      <w:r>
        <w:rPr>
          <w:rFonts w:ascii="Arial" w:cs="Arial" w:eastAsia="Arial" w:hAnsi="Arial"/>
          <w:sz w:val="24"/>
          <w:szCs w:val="24"/>
        </w:rPr>
        <w:t xml:space="preserve">50. Основаниями учета уголовных дел и их движения являются следующие принятые процессуальные решения:</w:t>
      </w:r>
    </w:p>
    <w:p>
      <w:pPr>
        <w:spacing w:after="120"/>
        <w:jc w:val="both"/>
      </w:pPr>
      <w:r>
        <w:rPr>
          <w:rFonts w:ascii="Arial" w:cs="Arial" w:eastAsia="Arial" w:hAnsi="Arial"/>
          <w:sz w:val="24"/>
          <w:szCs w:val="24"/>
        </w:rPr>
        <w:t xml:space="preserve">- о возбуждении уголовного дела;</w:t>
      </w:r>
    </w:p>
    <w:p>
      <w:pPr>
        <w:spacing w:after="120"/>
        <w:jc w:val="both"/>
      </w:pPr>
      <w:r>
        <w:rPr>
          <w:rFonts w:ascii="Arial" w:cs="Arial" w:eastAsia="Arial" w:hAnsi="Arial"/>
          <w:sz w:val="24"/>
          <w:szCs w:val="24"/>
        </w:rPr>
        <w:t xml:space="preserve">- об утверждении прокурором протокола ускоренного досудебного производства;</w:t>
      </w:r>
    </w:p>
    <w:p>
      <w:pPr>
        <w:spacing w:after="120"/>
        <w:jc w:val="both"/>
      </w:pPr>
      <w:r>
        <w:rPr>
          <w:rFonts w:ascii="Arial" w:cs="Arial" w:eastAsia="Arial" w:hAnsi="Arial"/>
          <w:sz w:val="24"/>
          <w:szCs w:val="24"/>
        </w:rPr>
        <w:t xml:space="preserve">- о соединении уголовных дел;</w:t>
      </w:r>
    </w:p>
    <w:p>
      <w:pPr>
        <w:spacing w:after="120"/>
        <w:jc w:val="both"/>
      </w:pPr>
      <w:r>
        <w:rPr>
          <w:rFonts w:ascii="Arial" w:cs="Arial" w:eastAsia="Arial" w:hAnsi="Arial"/>
          <w:sz w:val="24"/>
          <w:szCs w:val="24"/>
        </w:rPr>
        <w:t xml:space="preserve">- о продлении сроков расследования;</w:t>
      </w:r>
    </w:p>
    <w:p>
      <w:pPr>
        <w:spacing w:after="120"/>
        <w:jc w:val="both"/>
      </w:pPr>
      <w:r>
        <w:rPr>
          <w:rFonts w:ascii="Arial" w:cs="Arial" w:eastAsia="Arial" w:hAnsi="Arial"/>
          <w:sz w:val="24"/>
          <w:szCs w:val="24"/>
        </w:rPr>
        <w:t xml:space="preserve">- о приостановлении следствия;</w:t>
      </w:r>
    </w:p>
    <w:p>
      <w:pPr>
        <w:spacing w:after="120"/>
        <w:jc w:val="both"/>
      </w:pPr>
      <w:r>
        <w:rPr>
          <w:rFonts w:ascii="Arial" w:cs="Arial" w:eastAsia="Arial" w:hAnsi="Arial"/>
          <w:sz w:val="24"/>
          <w:szCs w:val="24"/>
        </w:rPr>
        <w:t xml:space="preserve">- о выделении уголовного дела в отдельное производство в отношении одного или нескольких обвиняемых либо неустановленных лиц, при наличии признаков преступления, не связанного с расследуемым уголовным делом;</w:t>
      </w:r>
    </w:p>
    <w:p>
      <w:pPr>
        <w:spacing w:after="120"/>
        <w:jc w:val="both"/>
      </w:pPr>
      <w:r>
        <w:rPr>
          <w:rFonts w:ascii="Arial" w:cs="Arial" w:eastAsia="Arial" w:hAnsi="Arial"/>
          <w:sz w:val="24"/>
          <w:szCs w:val="24"/>
        </w:rPr>
        <w:t xml:space="preserve">- о передаче уголовного дела по подследственности или по территориальности;</w:t>
      </w:r>
    </w:p>
    <w:p>
      <w:pPr>
        <w:spacing w:after="120"/>
        <w:jc w:val="both"/>
      </w:pPr>
      <w:r>
        <w:rPr>
          <w:rFonts w:ascii="Arial" w:cs="Arial" w:eastAsia="Arial" w:hAnsi="Arial"/>
          <w:sz w:val="24"/>
          <w:szCs w:val="24"/>
        </w:rPr>
        <w:t xml:space="preserve">- о прекращении уголовного дела;</w:t>
      </w:r>
    </w:p>
    <w:p>
      <w:pPr>
        <w:spacing w:after="120"/>
        <w:jc w:val="both"/>
      </w:pPr>
      <w:r>
        <w:rPr>
          <w:rFonts w:ascii="Arial" w:cs="Arial" w:eastAsia="Arial" w:hAnsi="Arial"/>
          <w:sz w:val="24"/>
          <w:szCs w:val="24"/>
        </w:rPr>
        <w:t xml:space="preserve">- об утверждении прокурором обвинительного заключения;</w:t>
      </w:r>
    </w:p>
    <w:p>
      <w:pPr>
        <w:spacing w:after="120"/>
        <w:jc w:val="both"/>
      </w:pPr>
      <w:r>
        <w:rPr>
          <w:rFonts w:ascii="Arial" w:cs="Arial" w:eastAsia="Arial" w:hAnsi="Arial"/>
          <w:sz w:val="24"/>
          <w:szCs w:val="24"/>
        </w:rPr>
        <w:t xml:space="preserve">- об утверждении прокурором постановления о направлении уголовного дела в суд для применения принудительной меры медицинского характера;</w:t>
      </w:r>
    </w:p>
    <w:p>
      <w:pPr>
        <w:spacing w:after="120"/>
        <w:jc w:val="both"/>
      </w:pPr>
      <w:r>
        <w:rPr>
          <w:rFonts w:ascii="Arial" w:cs="Arial" w:eastAsia="Arial" w:hAnsi="Arial"/>
          <w:sz w:val="24"/>
          <w:szCs w:val="24"/>
        </w:rPr>
        <w:t xml:space="preserve">- об отмене постановления о прекращении уголовного дела и о возобновлении производства по уголовному делу;</w:t>
      </w:r>
    </w:p>
    <w:p>
      <w:pPr>
        <w:spacing w:after="120"/>
        <w:jc w:val="both"/>
      </w:pPr>
      <w:r>
        <w:rPr>
          <w:rFonts w:ascii="Arial" w:cs="Arial" w:eastAsia="Arial" w:hAnsi="Arial"/>
          <w:sz w:val="24"/>
          <w:szCs w:val="24"/>
        </w:rPr>
        <w:t xml:space="preserve">- о возобновлении приостановленного следствия;</w:t>
      </w:r>
    </w:p>
    <w:p>
      <w:pPr>
        <w:spacing w:after="120"/>
        <w:jc w:val="both"/>
      </w:pPr>
      <w:r>
        <w:rPr>
          <w:rFonts w:ascii="Arial" w:cs="Arial" w:eastAsia="Arial" w:hAnsi="Arial"/>
          <w:sz w:val="24"/>
          <w:szCs w:val="24"/>
        </w:rPr>
        <w:t xml:space="preserve">- о возвращении прокурором уголовного дела для восполнения пробелов следствия;</w:t>
      </w:r>
    </w:p>
    <w:p>
      <w:pPr>
        <w:spacing w:after="120"/>
        <w:jc w:val="both"/>
      </w:pPr>
      <w:r>
        <w:rPr>
          <w:rFonts w:ascii="Arial" w:cs="Arial" w:eastAsia="Arial" w:hAnsi="Arial"/>
          <w:sz w:val="24"/>
          <w:szCs w:val="24"/>
        </w:rPr>
        <w:t xml:space="preserve">- приговор суда, вступивший в законную силу;</w:t>
      </w:r>
    </w:p>
    <w:p>
      <w:pPr>
        <w:spacing w:after="120"/>
        <w:jc w:val="both"/>
      </w:pPr>
      <w:r>
        <w:rPr>
          <w:rFonts w:ascii="Arial" w:cs="Arial" w:eastAsia="Arial" w:hAnsi="Arial"/>
          <w:sz w:val="24"/>
          <w:szCs w:val="24"/>
        </w:rPr>
        <w:t xml:space="preserve">- о направлении уголовного дела для выполнения постановлений судей по подсудности;</w:t>
      </w:r>
    </w:p>
    <w:p>
      <w:pPr>
        <w:spacing w:after="120"/>
        <w:jc w:val="both"/>
      </w:pPr>
      <w:r>
        <w:rPr>
          <w:rFonts w:ascii="Arial" w:cs="Arial" w:eastAsia="Arial" w:hAnsi="Arial"/>
          <w:sz w:val="24"/>
          <w:szCs w:val="24"/>
        </w:rPr>
        <w:t xml:space="preserve">- о направлении уголовного дела для осуществления уголовного преследования в компетентные органы иностранных государств.</w:t>
      </w:r>
    </w:p>
    <w:p>
      <w:pPr>
        <w:spacing w:after="120"/>
        <w:jc w:val="both"/>
      </w:pPr>
      <w:r>
        <w:rPr>
          <w:rFonts w:ascii="Arial" w:cs="Arial" w:eastAsia="Arial" w:hAnsi="Arial"/>
          <w:sz w:val="24"/>
          <w:szCs w:val="24"/>
        </w:rPr>
        <w:t xml:space="preserve">51. Порядок нумерации уголовных дел определяется Генеральной прокуратурой Кыргызской Республики (приложение 5 к настоящему Положению).</w:t>
      </w:r>
    </w:p>
    <w:p>
      <w:pPr>
        <w:spacing w:after="120"/>
        <w:jc w:val="both"/>
      </w:pPr>
      <w:r>
        <w:rPr>
          <w:rFonts w:ascii="Arial" w:cs="Arial" w:eastAsia="Arial" w:hAnsi="Arial"/>
          <w:sz w:val="24"/>
          <w:szCs w:val="24"/>
        </w:rPr>
        <w:t xml:space="preserve">52. Движение уголовного дела учитывается по статистической карточке формы № 3, заполняемой прокурором или следователем немедленно после принятия по делу одного из следующих решений:</w:t>
      </w:r>
    </w:p>
    <w:p>
      <w:pPr>
        <w:spacing w:after="120"/>
        <w:jc w:val="both"/>
      </w:pPr>
      <w:r>
        <w:rPr>
          <w:rFonts w:ascii="Arial" w:cs="Arial" w:eastAsia="Arial" w:hAnsi="Arial"/>
          <w:sz w:val="24"/>
          <w:szCs w:val="24"/>
        </w:rPr>
        <w:t xml:space="preserve">1) соединение уголовных дел;</w:t>
      </w:r>
    </w:p>
    <w:p>
      <w:pPr>
        <w:spacing w:after="120"/>
        <w:jc w:val="both"/>
      </w:pPr>
      <w:r>
        <w:rPr>
          <w:rFonts w:ascii="Arial" w:cs="Arial" w:eastAsia="Arial" w:hAnsi="Arial"/>
          <w:sz w:val="24"/>
          <w:szCs w:val="24"/>
        </w:rPr>
        <w:t xml:space="preserve">2) выделение уголовных дел;</w:t>
      </w:r>
    </w:p>
    <w:p>
      <w:pPr>
        <w:spacing w:after="120"/>
        <w:jc w:val="both"/>
      </w:pPr>
      <w:r>
        <w:rPr>
          <w:rFonts w:ascii="Arial" w:cs="Arial" w:eastAsia="Arial" w:hAnsi="Arial"/>
          <w:sz w:val="24"/>
          <w:szCs w:val="24"/>
        </w:rPr>
        <w:t xml:space="preserve">3) приостановление следствия;</w:t>
      </w:r>
    </w:p>
    <w:p>
      <w:pPr>
        <w:spacing w:after="120"/>
        <w:jc w:val="both"/>
      </w:pPr>
      <w:r>
        <w:rPr>
          <w:rFonts w:ascii="Arial" w:cs="Arial" w:eastAsia="Arial" w:hAnsi="Arial"/>
          <w:sz w:val="24"/>
          <w:szCs w:val="24"/>
        </w:rPr>
        <w:t xml:space="preserve">4) возобновление приостановленного уголовного дела;</w:t>
      </w:r>
    </w:p>
    <w:p>
      <w:pPr>
        <w:spacing w:after="120"/>
        <w:jc w:val="both"/>
      </w:pPr>
      <w:r>
        <w:rPr>
          <w:rFonts w:ascii="Arial" w:cs="Arial" w:eastAsia="Arial" w:hAnsi="Arial"/>
          <w:sz w:val="24"/>
          <w:szCs w:val="24"/>
        </w:rPr>
        <w:t xml:space="preserve">5) возобновление прекращенного уголовного дела;</w:t>
      </w:r>
    </w:p>
    <w:p>
      <w:pPr>
        <w:spacing w:after="120"/>
        <w:jc w:val="both"/>
      </w:pPr>
      <w:r>
        <w:rPr>
          <w:rFonts w:ascii="Arial" w:cs="Arial" w:eastAsia="Arial" w:hAnsi="Arial"/>
          <w:sz w:val="24"/>
          <w:szCs w:val="24"/>
        </w:rPr>
        <w:t xml:space="preserve">6) возвращение уголовного дела следователю для восполнения пробелов следствия прокурором или судом;</w:t>
      </w:r>
    </w:p>
    <w:p>
      <w:pPr>
        <w:spacing w:after="120"/>
        <w:jc w:val="both"/>
      </w:pPr>
      <w:r>
        <w:rPr>
          <w:rFonts w:ascii="Arial" w:cs="Arial" w:eastAsia="Arial" w:hAnsi="Arial"/>
          <w:sz w:val="24"/>
          <w:szCs w:val="24"/>
        </w:rPr>
        <w:t xml:space="preserve">7) передача уголовного дела по подследственности или территориальности;</w:t>
      </w:r>
    </w:p>
    <w:p>
      <w:pPr>
        <w:spacing w:after="120"/>
        <w:jc w:val="both"/>
      </w:pPr>
      <w:r>
        <w:rPr>
          <w:rFonts w:ascii="Arial" w:cs="Arial" w:eastAsia="Arial" w:hAnsi="Arial"/>
          <w:sz w:val="24"/>
          <w:szCs w:val="24"/>
        </w:rPr>
        <w:t xml:space="preserve">8) продление срока следствия;</w:t>
      </w:r>
    </w:p>
    <w:p>
      <w:pPr>
        <w:spacing w:after="120"/>
        <w:jc w:val="both"/>
      </w:pPr>
      <w:r>
        <w:rPr>
          <w:rFonts w:ascii="Arial" w:cs="Arial" w:eastAsia="Arial" w:hAnsi="Arial"/>
          <w:sz w:val="24"/>
          <w:szCs w:val="24"/>
        </w:rPr>
        <w:t xml:space="preserve">9) направление уголовного дела для выполнения постановлений судей по подсудности;</w:t>
      </w:r>
    </w:p>
    <w:p>
      <w:pPr>
        <w:spacing w:after="120"/>
        <w:jc w:val="both"/>
      </w:pPr>
      <w:r>
        <w:rPr>
          <w:rFonts w:ascii="Arial" w:cs="Arial" w:eastAsia="Arial" w:hAnsi="Arial"/>
          <w:sz w:val="24"/>
          <w:szCs w:val="24"/>
        </w:rPr>
        <w:t xml:space="preserve">10) о направлении уголовного дела для осуществления уголовного преследования в компетентные органы иностранных государств.</w:t>
      </w:r>
    </w:p>
    <w:p>
      <w:pPr>
        <w:spacing w:after="120"/>
        <w:jc w:val="both"/>
      </w:pPr>
      <w:r>
        <w:rPr>
          <w:rFonts w:ascii="Arial" w:cs="Arial" w:eastAsia="Arial" w:hAnsi="Arial"/>
          <w:sz w:val="24"/>
          <w:szCs w:val="24"/>
        </w:rPr>
        <w:t xml:space="preserve">53. В случае оправдания по отдельным эпизодам судом лица, обвиняемого в совершении ряда преступлений за недоказанностью его вины в совершении преступления, по каждому недоказанному эпизоду уголовные дела выделяются в отдельное производство и передаются соответствующему прокурору для принятия мер к установлению лица, совершившего преступление (в соответствии с частью 3 статьи 316 УПК Кыргызской Республики). Правоохранительный орган, получивший указанные дела от прокурора, немедленно должен поставить их на учет в отчетном периоде согласно принятому процессуальному решению, с выставлением статистической карточки формы № 3 независимо от времени совершения преступления и окончания досудебного производства по делу.</w:t>
      </w:r>
    </w:p>
    <w:p>
      <w:pPr>
        <w:spacing w:after="120"/>
        <w:jc w:val="both"/>
      </w:pPr>
      <w:r>
        <w:rPr>
          <w:rFonts w:ascii="Arial" w:cs="Arial" w:eastAsia="Arial" w:hAnsi="Arial"/>
          <w:sz w:val="24"/>
          <w:szCs w:val="24"/>
        </w:rPr>
        <w:t xml:space="preserve">При возвращении уголовного дела судом для восполнения пробелов следствия срок дальнейшего расследования устанавливается в соответствии с частью 4 статьи 166 </w:t>
      </w:r>
      <w:hyperlink w:history="1" r:id="rId16ud8xuocn71jxu3gmlb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54. При передаче уголовных дел по подследственности или территориальности преступления повторному учету не подлежат и с учета не снимаются.</w:t>
      </w:r>
    </w:p>
    <w:p>
      <w:pPr>
        <w:spacing w:after="120"/>
        <w:jc w:val="both"/>
      </w:pPr>
      <w:r>
        <w:rPr>
          <w:rFonts w:ascii="Arial" w:cs="Arial" w:eastAsia="Arial" w:hAnsi="Arial"/>
          <w:sz w:val="24"/>
          <w:szCs w:val="24"/>
        </w:rPr>
        <w:t xml:space="preserve">55. Передача уголовных дел по территориальности или подследственности осуществляется по следующим правилам:</w:t>
      </w:r>
    </w:p>
    <w:p>
      <w:pPr>
        <w:spacing w:after="120"/>
        <w:jc w:val="both"/>
      </w:pPr>
      <w:r>
        <w:rPr>
          <w:rFonts w:ascii="Arial" w:cs="Arial" w:eastAsia="Arial" w:hAnsi="Arial"/>
          <w:sz w:val="24"/>
          <w:szCs w:val="24"/>
        </w:rPr>
        <w:t xml:space="preserve">- передача уголовного дела из одного следственного подразделения в другое (районного или областного уровня) одной ведомственной принадлежности, а также из одного следственного органа в другой (районного или областного уровня) разных ведомств внутри области или города Бишкек осуществляется только через прокурора либо через курирующего заместителя прокурора области или города Бишкек, который должен подписать статистическую карточку формы № 3, с проверкой правильности и полноты отраженных реквизитов;</w:t>
      </w:r>
    </w:p>
    <w:p>
      <w:pPr>
        <w:spacing w:after="120"/>
        <w:jc w:val="both"/>
      </w:pPr>
      <w:r>
        <w:rPr>
          <w:rFonts w:ascii="Arial" w:cs="Arial" w:eastAsia="Arial" w:hAnsi="Arial"/>
          <w:sz w:val="24"/>
          <w:szCs w:val="24"/>
        </w:rPr>
        <w:t xml:space="preserve">- передача уголовного дела из одного следственного подразделения в другое разных областей или городов Бишкек и Ош, а также из следственного подразделения самостоятельного правоохранительного органа республиканского уровня в другое и наоборот осуществляется только через Генеральную прокуратуру Кыргызской Республики, где соответствующий руководитель подразделения Генеральной прокуратуры Кыргызской Республики либо его заместитель должен подписать статистическую карточку формы № 3, с проверкой правильности и полноты отраженных реквизитов.</w:t>
      </w:r>
    </w:p>
    <w:p>
      <w:pPr>
        <w:spacing w:after="120"/>
        <w:jc w:val="both"/>
      </w:pPr>
      <w:r>
        <w:rPr>
          <w:rFonts w:ascii="Arial" w:cs="Arial" w:eastAsia="Arial" w:hAnsi="Arial"/>
          <w:sz w:val="24"/>
          <w:szCs w:val="24"/>
        </w:rPr>
        <w:t xml:space="preserve">56. Дела, поступившие для производства расследования из одного правоохранительного органа в другой правоохранительный орган данного района (города), вторично не регистрируются и оканчиваются производством за номерами первичной регистрации.</w:t>
      </w:r>
    </w:p>
    <w:p>
      <w:pPr>
        <w:spacing w:after="120"/>
        <w:jc w:val="both"/>
      </w:pPr>
      <w:r>
        <w:rPr>
          <w:rFonts w:ascii="Arial" w:cs="Arial" w:eastAsia="Arial" w:hAnsi="Arial"/>
          <w:sz w:val="24"/>
          <w:szCs w:val="24"/>
        </w:rPr>
        <w:t xml:space="preserve">57. Уголовные дела, поступившие по подследственности или по территориальности из одного района (города) в другой район (город), подлежат записи в Едином журнале района (города), куда поступило дело, и оканчиваются производством за номером органа, возбудившего уголовное дело.</w:t>
      </w:r>
    </w:p>
    <w:p>
      <w:pPr>
        <w:spacing w:after="120"/>
        <w:jc w:val="both"/>
      </w:pPr>
      <w:r>
        <w:rPr>
          <w:rFonts w:ascii="Arial" w:cs="Arial" w:eastAsia="Arial" w:hAnsi="Arial"/>
          <w:sz w:val="24"/>
          <w:szCs w:val="24"/>
        </w:rPr>
        <w:t xml:space="preserve">58. При пересылке уголовного дела из одной области в другую область для расследования по месту совершения преступления, получивший орган расследования выясняет, не было ли оно зарегистрировано ранее. Расследование оканчивается за номером первичной регистрации.</w:t>
      </w:r>
    </w:p>
    <w:p>
      <w:pPr>
        <w:spacing w:after="120"/>
        <w:jc w:val="both"/>
      </w:pPr>
      <w:r>
        <w:rPr>
          <w:rFonts w:ascii="Arial" w:cs="Arial" w:eastAsia="Arial" w:hAnsi="Arial"/>
          <w:sz w:val="24"/>
          <w:szCs w:val="24"/>
        </w:rPr>
        <w:t xml:space="preserve">59. В случае, когда по уголовному делу расследуется несколько преступлений, совершенных на территории разных областей, следователь или прокурор, в производстве которого находится дело, через Управление правовой статистики и учетов Генеральной прокуратуры Кыргызской Республики направляет статистические карточки в соответствующие региональные подразделения правовой статистики и учетов органов прокуратуры для постановки на учет по месту их совершения.</w:t>
      </w:r>
    </w:p>
    <w:p>
      <w:pPr>
        <w:spacing w:after="120"/>
        <w:jc w:val="both"/>
      </w:pPr>
      <w:r>
        <w:rPr>
          <w:rFonts w:ascii="Arial" w:cs="Arial" w:eastAsia="Arial" w:hAnsi="Arial"/>
          <w:sz w:val="24"/>
          <w:szCs w:val="24"/>
        </w:rPr>
        <w:t xml:space="preserve">60. Уголовные дела, поступившие для производства расследования из других государств, регистрируются также, как и вновь возбужденные уголовные дела, и им присваивается новый регистрационный номер.</w:t>
      </w:r>
    </w:p>
    <w:p>
      <w:pPr>
        <w:spacing w:after="120"/>
        <w:jc w:val="both"/>
      </w:pPr>
      <w:r>
        <w:rPr>
          <w:rFonts w:ascii="Arial" w:cs="Arial" w:eastAsia="Arial" w:hAnsi="Arial"/>
          <w:sz w:val="24"/>
          <w:szCs w:val="24"/>
        </w:rPr>
        <w:t xml:space="preserve">61. В случае выделения в отдельное производство уголовных дел в отношении лиц, совершивших преступления в соучастии, выделенные дела регистрируются в Контрольном журнале учета преступлений, лиц их совершивших, и движения уголовных дел с присвоением регистрационного номера с добавлением литера "А", "Б" и так далее, однако преступления повторному учету не подлежат. Информация по указанным выделенным уголовным делам вносится в информационную базу данных.</w:t>
      </w:r>
    </w:p>
    <w:p>
      <w:pPr>
        <w:spacing w:after="120"/>
        <w:jc w:val="both"/>
      </w:pPr>
      <w:r>
        <w:rPr>
          <w:rFonts w:ascii="Arial" w:cs="Arial" w:eastAsia="Arial" w:hAnsi="Arial"/>
          <w:sz w:val="24"/>
          <w:szCs w:val="24"/>
        </w:rPr>
        <w:t xml:space="preserve">62. При соединении уголовных дел в одно производство в связи с тем, что преступления совершены одним и тем же лицом, количество учтенных преступлений не меняется.</w:t>
      </w:r>
    </w:p>
    <w:p>
      <w:pPr>
        <w:spacing w:after="120"/>
        <w:jc w:val="both"/>
      </w:pPr>
      <w:r>
        <w:rPr>
          <w:rFonts w:ascii="Arial" w:cs="Arial" w:eastAsia="Arial" w:hAnsi="Arial"/>
          <w:sz w:val="24"/>
          <w:szCs w:val="24"/>
        </w:rPr>
        <w:t xml:space="preserve">63. При соединении двух или более уголовных дел, возбужденных по одному и тому же преступлению, на учете остается одно преступление, уголовное дело по которому возбуждено первым. Остальные преступления снимаются с учета, при этом в учетных документах в качестве основания для снятия с учета указывается отсутствие состава преступления (пункт 2 части 1 статьи 28 </w:t>
      </w:r>
      <w:hyperlink w:history="1" r:id="rIdjhhgen_xl7mhq2u4sfiw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Глава 7. Учет результатов возмещения материального ущерба и изъятия предметов преступной деятельности</w:t>
      </w:r>
    </w:p>
    <w:p>
      <w:pPr>
        <w:spacing w:after="120"/>
        <w:jc w:val="both"/>
      </w:pPr>
      <w:r>
        <w:rPr>
          <w:rFonts w:ascii="Arial" w:cs="Arial" w:eastAsia="Arial" w:hAnsi="Arial"/>
          <w:sz w:val="24"/>
          <w:szCs w:val="24"/>
        </w:rPr>
        <w:t xml:space="preserve">64. Учету подлежат сведения о причиненном преступлением материальном ущербе и обеспечении его возмещения, которые устанавливаются в ходе расследования уголовного дела, ускоренного досудебного производства следователем, должностным лицом, уполномоченным органом дознания осуществлять ускоренное досудебное производство, и прокурором.</w:t>
      </w:r>
    </w:p>
    <w:p>
      <w:pPr>
        <w:spacing w:after="120"/>
        <w:jc w:val="both"/>
      </w:pPr>
      <w:r>
        <w:rPr>
          <w:rFonts w:ascii="Arial" w:cs="Arial" w:eastAsia="Arial" w:hAnsi="Arial"/>
          <w:sz w:val="24"/>
          <w:szCs w:val="24"/>
        </w:rPr>
        <w:t xml:space="preserve">65. Основаниями учета материального ущерба являются:</w:t>
      </w:r>
    </w:p>
    <w:p>
      <w:pPr>
        <w:spacing w:after="120"/>
        <w:jc w:val="both"/>
      </w:pPr>
      <w:r>
        <w:rPr>
          <w:rFonts w:ascii="Arial" w:cs="Arial" w:eastAsia="Arial" w:hAnsi="Arial"/>
          <w:sz w:val="24"/>
          <w:szCs w:val="24"/>
        </w:rPr>
        <w:t xml:space="preserve">- утвержденное прокурором обвинительное заключение;</w:t>
      </w:r>
    </w:p>
    <w:p>
      <w:pPr>
        <w:spacing w:after="120"/>
        <w:jc w:val="both"/>
      </w:pPr>
      <w:r>
        <w:rPr>
          <w:rFonts w:ascii="Arial" w:cs="Arial" w:eastAsia="Arial" w:hAnsi="Arial"/>
          <w:sz w:val="24"/>
          <w:szCs w:val="24"/>
        </w:rPr>
        <w:t xml:space="preserve">- утвержденный прокурором протокол ускоренного досудебного производства;</w:t>
      </w:r>
    </w:p>
    <w:p>
      <w:pPr>
        <w:spacing w:after="120"/>
        <w:jc w:val="both"/>
      </w:pPr>
      <w:r>
        <w:rPr>
          <w:rFonts w:ascii="Arial" w:cs="Arial" w:eastAsia="Arial" w:hAnsi="Arial"/>
          <w:sz w:val="24"/>
          <w:szCs w:val="24"/>
        </w:rPr>
        <w:t xml:space="preserve">- постановление о прекращении уголовного дела по нереабилитирующим основаниям;</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66. Установленная сумма причиненного преступлением материального ущерба и сумма обеспечения его возмещения отражаются в статистической карточке формы № 1.1 (единая статистическая карточка о раскрытии преступления, об окончании уголовного дела).</w:t>
      </w:r>
    </w:p>
    <w:p>
      <w:pPr>
        <w:spacing w:after="120"/>
        <w:jc w:val="both"/>
      </w:pPr>
      <w:r>
        <w:rPr>
          <w:rFonts w:ascii="Arial" w:cs="Arial" w:eastAsia="Arial" w:hAnsi="Arial"/>
          <w:sz w:val="24"/>
          <w:szCs w:val="24"/>
        </w:rPr>
        <w:t xml:space="preserve">Глава 8. Учет сведений о потерпевших</w:t>
      </w:r>
    </w:p>
    <w:p>
      <w:pPr>
        <w:spacing w:after="120"/>
        <w:jc w:val="both"/>
      </w:pPr>
      <w:r>
        <w:rPr>
          <w:rFonts w:ascii="Arial" w:cs="Arial" w:eastAsia="Arial" w:hAnsi="Arial"/>
          <w:sz w:val="24"/>
          <w:szCs w:val="24"/>
        </w:rPr>
        <w:t xml:space="preserve">67. Учету подлежат сведения о каждом физическом лице:</w:t>
      </w:r>
    </w:p>
    <w:p>
      <w:pPr>
        <w:spacing w:after="120"/>
        <w:jc w:val="both"/>
      </w:pPr>
      <w:r>
        <w:rPr>
          <w:rFonts w:ascii="Arial" w:cs="Arial" w:eastAsia="Arial" w:hAnsi="Arial"/>
          <w:sz w:val="24"/>
          <w:szCs w:val="24"/>
        </w:rPr>
        <w:t xml:space="preserve">- признанным в установленном законом порядке потерпевшим;</w:t>
      </w:r>
    </w:p>
    <w:p>
      <w:pPr>
        <w:spacing w:after="120"/>
        <w:jc w:val="both"/>
      </w:pPr>
      <w:r>
        <w:rPr>
          <w:rFonts w:ascii="Arial" w:cs="Arial" w:eastAsia="Arial" w:hAnsi="Arial"/>
          <w:sz w:val="24"/>
          <w:szCs w:val="24"/>
        </w:rPr>
        <w:t xml:space="preserve">- смерть которого наступила в результате совершенного в отношении него преступления.</w:t>
      </w:r>
    </w:p>
    <w:p>
      <w:pPr>
        <w:spacing w:after="120"/>
        <w:jc w:val="both"/>
      </w:pPr>
      <w:r>
        <w:rPr>
          <w:rFonts w:ascii="Arial" w:cs="Arial" w:eastAsia="Arial" w:hAnsi="Arial"/>
          <w:sz w:val="24"/>
          <w:szCs w:val="24"/>
        </w:rPr>
        <w:t xml:space="preserve">68. Учету не подлежат сведения о лицах близких родственниках, признанных потерпевшими по уголовному делу о преступлении, последствием которого явилась смерть лица.</w:t>
      </w:r>
    </w:p>
    <w:p>
      <w:pPr>
        <w:spacing w:after="120"/>
        <w:jc w:val="both"/>
      </w:pPr>
      <w:r>
        <w:rPr>
          <w:rFonts w:ascii="Arial" w:cs="Arial" w:eastAsia="Arial" w:hAnsi="Arial"/>
          <w:sz w:val="24"/>
          <w:szCs w:val="24"/>
        </w:rPr>
        <w:t xml:space="preserve">69. Основаниями учета потерпевших являются:</w:t>
      </w:r>
    </w:p>
    <w:p>
      <w:pPr>
        <w:spacing w:after="120"/>
        <w:jc w:val="both"/>
      </w:pPr>
      <w:r>
        <w:rPr>
          <w:rFonts w:ascii="Arial" w:cs="Arial" w:eastAsia="Arial" w:hAnsi="Arial"/>
          <w:sz w:val="24"/>
          <w:szCs w:val="24"/>
        </w:rPr>
        <w:t xml:space="preserve">- постановление о признании потерпевшим;</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определение суда о признании потерпевшим;</w:t>
      </w:r>
    </w:p>
    <w:p>
      <w:pPr>
        <w:spacing w:after="120"/>
        <w:jc w:val="both"/>
      </w:pPr>
      <w:r>
        <w:rPr>
          <w:rFonts w:ascii="Arial" w:cs="Arial" w:eastAsia="Arial" w:hAnsi="Arial"/>
          <w:sz w:val="24"/>
          <w:szCs w:val="24"/>
        </w:rPr>
        <w:t xml:space="preserve">- постановление о возбуждении уголовного дела по факту смерти лица, в случае, когда постановление (определение) о признании потерпевшим не выносилось.</w:t>
      </w:r>
    </w:p>
    <w:p>
      <w:pPr>
        <w:spacing w:after="120"/>
        <w:jc w:val="both"/>
      </w:pPr>
      <w:r>
        <w:rPr>
          <w:rFonts w:ascii="Arial" w:cs="Arial" w:eastAsia="Arial" w:hAnsi="Arial"/>
          <w:sz w:val="24"/>
          <w:szCs w:val="24"/>
        </w:rPr>
        <w:t xml:space="preserve">70. Сведения о каждом потерпевшем отражаются в отдельной статистической карточке формы № 1.П (единая статистическая карточка на потерпевшего).</w:t>
      </w:r>
    </w:p>
    <w:p>
      <w:pPr>
        <w:spacing w:after="120"/>
        <w:jc w:val="both"/>
      </w:pPr>
      <w:r>
        <w:rPr>
          <w:rFonts w:ascii="Arial" w:cs="Arial" w:eastAsia="Arial" w:hAnsi="Arial"/>
          <w:sz w:val="24"/>
          <w:szCs w:val="24"/>
        </w:rPr>
        <w:t xml:space="preserve">Глава 9. Учет судебных решений по уголовным делам и подсудимых</w:t>
      </w:r>
    </w:p>
    <w:p>
      <w:pPr>
        <w:spacing w:after="120"/>
        <w:jc w:val="both"/>
      </w:pPr>
      <w:r>
        <w:rPr>
          <w:rFonts w:ascii="Arial" w:cs="Arial" w:eastAsia="Arial" w:hAnsi="Arial"/>
          <w:sz w:val="24"/>
          <w:szCs w:val="24"/>
        </w:rPr>
        <w:t xml:space="preserve">71. Учету подлежат судебные решения:</w:t>
      </w:r>
    </w:p>
    <w:p>
      <w:pPr>
        <w:spacing w:after="120"/>
        <w:jc w:val="both"/>
      </w:pPr>
      <w:r>
        <w:rPr>
          <w:rFonts w:ascii="Arial" w:cs="Arial" w:eastAsia="Arial" w:hAnsi="Arial"/>
          <w:sz w:val="24"/>
          <w:szCs w:val="24"/>
        </w:rPr>
        <w:t xml:space="preserve">- по уголовным делам, поступившим в суд с обвинительным заключением;</w:t>
      </w:r>
    </w:p>
    <w:p>
      <w:pPr>
        <w:spacing w:after="120"/>
        <w:jc w:val="both"/>
      </w:pPr>
      <w:r>
        <w:rPr>
          <w:rFonts w:ascii="Arial" w:cs="Arial" w:eastAsia="Arial" w:hAnsi="Arial"/>
          <w:sz w:val="24"/>
          <w:szCs w:val="24"/>
        </w:rPr>
        <w:t xml:space="preserve">- по утвержденным прокурором протоколам ускоренного досудебного производства;</w:t>
      </w:r>
    </w:p>
    <w:p>
      <w:pPr>
        <w:spacing w:after="120"/>
        <w:jc w:val="both"/>
      </w:pPr>
      <w:r>
        <w:rPr>
          <w:rFonts w:ascii="Arial" w:cs="Arial" w:eastAsia="Arial" w:hAnsi="Arial"/>
          <w:sz w:val="24"/>
          <w:szCs w:val="24"/>
        </w:rPr>
        <w:t xml:space="preserve">- по постановлениям о применении принудительных мер медицинского характера;</w:t>
      </w:r>
    </w:p>
    <w:p>
      <w:pPr>
        <w:spacing w:after="120"/>
        <w:jc w:val="both"/>
      </w:pPr>
      <w:r>
        <w:rPr>
          <w:rFonts w:ascii="Arial" w:cs="Arial" w:eastAsia="Arial" w:hAnsi="Arial"/>
          <w:sz w:val="24"/>
          <w:szCs w:val="24"/>
        </w:rPr>
        <w:t xml:space="preserve">- по вступившим в законную силу обвинительным приговорам дел частного обвинения.</w:t>
      </w:r>
    </w:p>
    <w:p>
      <w:pPr>
        <w:spacing w:after="120"/>
        <w:jc w:val="both"/>
      </w:pPr>
      <w:r>
        <w:rPr>
          <w:rFonts w:ascii="Arial" w:cs="Arial" w:eastAsia="Arial" w:hAnsi="Arial"/>
          <w:sz w:val="24"/>
          <w:szCs w:val="24"/>
        </w:rPr>
        <w:t xml:space="preserve">72. Основаниями учета судебных решений, вступивших в законную силу, и подсудимых являются:</w:t>
      </w:r>
    </w:p>
    <w:p>
      <w:pPr>
        <w:spacing w:after="120"/>
        <w:jc w:val="both"/>
      </w:pPr>
      <w:r>
        <w:rPr>
          <w:rFonts w:ascii="Arial" w:cs="Arial" w:eastAsia="Arial" w:hAnsi="Arial"/>
          <w:sz w:val="24"/>
          <w:szCs w:val="24"/>
        </w:rPr>
        <w:t xml:space="preserve">- обвинительный приговор (в том числе по делам ускоренного досудебного производства);</w:t>
      </w:r>
    </w:p>
    <w:p>
      <w:pPr>
        <w:spacing w:after="120"/>
        <w:jc w:val="both"/>
      </w:pPr>
      <w:r>
        <w:rPr>
          <w:rFonts w:ascii="Arial" w:cs="Arial" w:eastAsia="Arial" w:hAnsi="Arial"/>
          <w:sz w:val="24"/>
          <w:szCs w:val="24"/>
        </w:rPr>
        <w:t xml:space="preserve">- оправдательный приговор;</w:t>
      </w:r>
    </w:p>
    <w:p>
      <w:pPr>
        <w:spacing w:after="120"/>
        <w:jc w:val="both"/>
      </w:pPr>
      <w:r>
        <w:rPr>
          <w:rFonts w:ascii="Arial" w:cs="Arial" w:eastAsia="Arial" w:hAnsi="Arial"/>
          <w:sz w:val="24"/>
          <w:szCs w:val="24"/>
        </w:rPr>
        <w:t xml:space="preserve">- судебное постановление о прекращении уголовного дела или уголовного преследования;</w:t>
      </w:r>
    </w:p>
    <w:p>
      <w:pPr>
        <w:spacing w:after="120"/>
        <w:jc w:val="both"/>
      </w:pPr>
      <w:r>
        <w:rPr>
          <w:rFonts w:ascii="Arial" w:cs="Arial" w:eastAsia="Arial" w:hAnsi="Arial"/>
          <w:sz w:val="24"/>
          <w:szCs w:val="24"/>
        </w:rPr>
        <w:t xml:space="preserve">- судебное постановление о применении принудительных мер медицинского характера.</w:t>
      </w:r>
    </w:p>
    <w:p>
      <w:pPr>
        <w:spacing w:after="120"/>
        <w:jc w:val="both"/>
      </w:pPr>
      <w:r>
        <w:rPr>
          <w:rFonts w:ascii="Arial" w:cs="Arial" w:eastAsia="Arial" w:hAnsi="Arial"/>
          <w:sz w:val="24"/>
          <w:szCs w:val="24"/>
        </w:rPr>
        <w:t xml:space="preserve">73. При направлении прокурору уголовного дела для утверждения обвинительного заключения, протокола ускоренного досудебного производства следователь, должностное лицо, уполномоченное органом дознания осуществлять ускоренное досудебное производство, приобщают к ним статистические карточки формы № 1.2 (единая статистическая карточка о результатах рассмотрения уголовного дела в суде) и формы № 2.1 (единая карточка на подсудимого), в которые вносят соответствующие учетные данные. Прокурор после утверждения обвинительного заключения или протокола ускоренного досудебного производства подписывает вышеуказанные статистические карточки.</w:t>
      </w:r>
    </w:p>
    <w:p>
      <w:pPr>
        <w:spacing w:after="120"/>
        <w:jc w:val="both"/>
      </w:pPr>
      <w:r>
        <w:rPr>
          <w:rFonts w:ascii="Arial" w:cs="Arial" w:eastAsia="Arial" w:hAnsi="Arial"/>
          <w:sz w:val="24"/>
          <w:szCs w:val="24"/>
        </w:rPr>
        <w:t xml:space="preserve">74. После вступления судебного решения в законную силу или возвращения уголовного дела (в случае обжалования) из вышестоящей инстанции либо возвращения дела для восполнения пробелов следствия в статистических карточках форм №№ 1.2 и 2.1 отражаются сведения, относящиеся к судебному производству, которые заверяются подписью судьи, рассмотревшего дело, и в течение трех суток направляются в соответствующие региональные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75. Учетные данные по делам частного обвинения, по которым вынесен обвинительный приговор, вносятся в единые статистические карточки форм №№ 1.2 и 2.1, и одновременно с обращением обвинительного приговора к исполнению указанные карточки направляются в региональные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76. Региональные подразделения правовой статистики и учетов органов прокуратуры отражают сведения о решении судов в Контрольном журнале учета преступлений, лиц, их совершивших, и движения уголовных дел и вносят соответствующие корректировки в статистическую отчетность в пределах отчетного года. После этого статистические карточки форм №№ 1.2 и 2.1 направляются в центральный аппарат управления правовой статистики и учетов Генеральной прокуратуры Кыргызской Республики.</w:t>
      </w:r>
    </w:p>
    <w:p>
      <w:pPr>
        <w:spacing w:after="120"/>
        <w:jc w:val="both"/>
      </w:pPr>
      <w:r>
        <w:rPr>
          <w:rFonts w:ascii="Arial" w:cs="Arial" w:eastAsia="Arial" w:hAnsi="Arial"/>
          <w:sz w:val="24"/>
          <w:szCs w:val="24"/>
        </w:rPr>
        <w:t xml:space="preserve">77. Управление правовой статистики и учетов Генеральной прокуратуры Кыргызской Республики после занесения сведений в базу данных, передает статистические карточки форм №№ 1.2 и 2.1 в алфавитно-справочную картотеку Министерства внутренних дел Кыргызской Республики.</w:t>
      </w:r>
    </w:p>
    <w:p>
      <w:pPr>
        <w:spacing w:after="120"/>
        <w:jc w:val="both"/>
      </w:pPr>
      <w:r>
        <w:rPr>
          <w:rFonts w:ascii="Arial" w:cs="Arial" w:eastAsia="Arial" w:hAnsi="Arial"/>
          <w:sz w:val="24"/>
          <w:szCs w:val="24"/>
        </w:rPr>
        <w:t xml:space="preserve">78. После внесения данных в алфавитно-справочную картотеку статистические карточки форм №№ 1.2 и 2.1 передаются в территориальные учетно-регистрационные подразделения правоохранительных органов, где данные с этих карточек заносятся в Единый журнал учета преступлений, лиц, их совершивших, и движения уголовных дел.</w:t>
      </w:r>
    </w:p>
    <w:p>
      <w:pPr>
        <w:spacing w:after="120"/>
        <w:jc w:val="both"/>
      </w:pPr>
      <w:r>
        <w:rPr>
          <w:rFonts w:ascii="Arial" w:cs="Arial" w:eastAsia="Arial" w:hAnsi="Arial"/>
          <w:sz w:val="24"/>
          <w:szCs w:val="24"/>
        </w:rPr>
        <w:t xml:space="preserve">Глава 10. Контроль и надзор</w:t>
      </w:r>
    </w:p>
    <w:p>
      <w:pPr>
        <w:spacing w:after="120"/>
        <w:jc w:val="both"/>
      </w:pPr>
      <w:r>
        <w:rPr>
          <w:rFonts w:ascii="Arial" w:cs="Arial" w:eastAsia="Arial" w:hAnsi="Arial"/>
          <w:sz w:val="24"/>
          <w:szCs w:val="24"/>
        </w:rPr>
        <w:t xml:space="preserve">79. Руководители субъектов регистрации и учета:</w:t>
      </w:r>
    </w:p>
    <w:p>
      <w:pPr>
        <w:spacing w:after="120"/>
        <w:jc w:val="both"/>
      </w:pPr>
      <w:r>
        <w:rPr>
          <w:rFonts w:ascii="Arial" w:cs="Arial" w:eastAsia="Arial" w:hAnsi="Arial"/>
          <w:sz w:val="24"/>
          <w:szCs w:val="24"/>
        </w:rPr>
        <w:t xml:space="preserve">- несут ответственность за обеспечение достоверного, объективного и полного заполнения и своевременного представления в подразделения правовой статистики и учетов органов прокуратуры учетных документов;</w:t>
      </w:r>
    </w:p>
    <w:p>
      <w:pPr>
        <w:spacing w:after="120"/>
        <w:jc w:val="both"/>
      </w:pPr>
      <w:r>
        <w:rPr>
          <w:rFonts w:ascii="Arial" w:cs="Arial" w:eastAsia="Arial" w:hAnsi="Arial"/>
          <w:sz w:val="24"/>
          <w:szCs w:val="24"/>
        </w:rPr>
        <w:t xml:space="preserve">- контролируют исполнение требований настоящего Положения;</w:t>
      </w:r>
    </w:p>
    <w:p>
      <w:pPr>
        <w:spacing w:after="120"/>
        <w:jc w:val="both"/>
      </w:pPr>
      <w:r>
        <w:rPr>
          <w:rFonts w:ascii="Arial" w:cs="Arial" w:eastAsia="Arial" w:hAnsi="Arial"/>
          <w:sz w:val="24"/>
          <w:szCs w:val="24"/>
        </w:rPr>
        <w:t xml:space="preserve">- принимают надлежащие меры по сообщениям подразделений правовой статистики и учетов органов прокуратуры о выявленных нарушениях требований настоящего Положения;</w:t>
      </w:r>
    </w:p>
    <w:p>
      <w:pPr>
        <w:spacing w:after="120"/>
        <w:jc w:val="both"/>
      </w:pPr>
      <w:r>
        <w:rPr>
          <w:rFonts w:ascii="Arial" w:cs="Arial" w:eastAsia="Arial" w:hAnsi="Arial"/>
          <w:sz w:val="24"/>
          <w:szCs w:val="24"/>
        </w:rPr>
        <w:t xml:space="preserve">- осуществляют в пределах своей компетенции контроль за состоянием учетно-регистрационной дисциплины.</w:t>
      </w:r>
    </w:p>
    <w:p>
      <w:pPr>
        <w:spacing w:after="120"/>
        <w:jc w:val="both"/>
      </w:pPr>
      <w:r>
        <w:rPr>
          <w:rFonts w:ascii="Arial" w:cs="Arial" w:eastAsia="Arial" w:hAnsi="Arial"/>
          <w:sz w:val="24"/>
          <w:szCs w:val="24"/>
        </w:rPr>
        <w:t xml:space="preserve">80. Руководители подразделений правовой статистики и учетов органов прокуратуры в пределах своей компетенции:</w:t>
      </w:r>
    </w:p>
    <w:p>
      <w:pPr>
        <w:spacing w:after="120"/>
        <w:jc w:val="both"/>
      </w:pPr>
      <w:r>
        <w:rPr>
          <w:rFonts w:ascii="Arial" w:cs="Arial" w:eastAsia="Arial" w:hAnsi="Arial"/>
          <w:sz w:val="24"/>
          <w:szCs w:val="24"/>
        </w:rPr>
        <w:t xml:space="preserve">- осуществляют контроль и надзор за достоверностью и объективностью заполнения учетных документов и своевременностью их представления;</w:t>
      </w:r>
    </w:p>
    <w:p>
      <w:pPr>
        <w:spacing w:after="120"/>
        <w:jc w:val="both"/>
      </w:pPr>
      <w:r>
        <w:rPr>
          <w:rFonts w:ascii="Arial" w:cs="Arial" w:eastAsia="Arial" w:hAnsi="Arial"/>
          <w:sz w:val="24"/>
          <w:szCs w:val="24"/>
        </w:rPr>
        <w:t xml:space="preserve">- в случае ненадлежащего заполнения реквизитов учетных документов возвращают документы в подразделения, их представившие, или в пределах своей компетенции проводит проверку, направленную на выявление виновных лиц, допустивших искажения, и устранение ошибок (без возвращения документов вызывают лиц, подписавших карточки: следователя, прокурора и других);</w:t>
      </w:r>
    </w:p>
    <w:p>
      <w:pPr>
        <w:spacing w:after="120"/>
        <w:jc w:val="both"/>
      </w:pPr>
      <w:r>
        <w:rPr>
          <w:rFonts w:ascii="Arial" w:cs="Arial" w:eastAsia="Arial" w:hAnsi="Arial"/>
          <w:sz w:val="24"/>
          <w:szCs w:val="24"/>
        </w:rPr>
        <w:t xml:space="preserve">- в случае выявления нарушений требований настоящего Положения принимают меры прокурорского реагирования в целях их устранения и привлечения к ответственности соответствующих виновных должностных лиц.</w:t>
      </w:r>
    </w:p>
    <w:p>
      <w:pPr>
        <w:spacing w:after="120"/>
        <w:jc w:val="both"/>
      </w:pPr>
      <w:r>
        <w:rPr>
          <w:rFonts w:ascii="Arial" w:cs="Arial" w:eastAsia="Arial" w:hAnsi="Arial"/>
          <w:sz w:val="24"/>
          <w:szCs w:val="24"/>
        </w:rPr>
        <w:t xml:space="preserve">81. Надзирающие прокуроры или вышестоящие имеют право отменить учет карточек (за исключением подписанных судьями) и направляют заверенную копию постановления об этом в подразделения правовой статистики и учетов органов прокуратуры. Отменить учет статистических карточек имеют также право руководители центрального аппарата и подразделений правовой статистики и учетов органов прокуратуры.</w:t>
      </w:r>
    </w:p>
    <w:p>
      <w:pPr>
        <w:spacing w:after="120"/>
        <w:jc w:val="both"/>
      </w:pPr>
      <w:r>
        <w:rPr>
          <w:rFonts w:ascii="Arial" w:cs="Arial" w:eastAsia="Arial" w:hAnsi="Arial"/>
          <w:sz w:val="24"/>
          <w:szCs w:val="24"/>
        </w:rPr>
        <w:t xml:space="preserve">82. Руководители подразделений правовой статистики и учетов органов прокуратуры несут персональную ответственность за полноту, достоверность, объективность и своевременность отражения в статистической отчетности о преступности показателей, содержащихся в поступивших учетных документах.</w:t>
      </w:r>
    </w:p>
    <w:p>
      <w:pPr>
        <w:spacing w:after="120"/>
        <w:jc w:val="center"/>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Глава 1. Организация работы с учетными документами</w:t>
      </w:r>
    </w:p>
    <w:p>
      <w:pPr>
        <w:spacing w:after="120"/>
        <w:jc w:val="both"/>
      </w:pPr>
      <w:r>
        <w:rPr>
          <w:rFonts w:ascii="Arial" w:cs="Arial" w:eastAsia="Arial" w:hAnsi="Arial"/>
          <w:sz w:val="24"/>
          <w:szCs w:val="24"/>
        </w:rPr>
        <w:t xml:space="preserve">83. Учетные документы предназначены для сбора и систематизации сведений об объектах учета, подлежащих отражению в статистической отчетности.</w:t>
      </w:r>
    </w:p>
    <w:p>
      <w:pPr>
        <w:spacing w:after="120"/>
        <w:jc w:val="both"/>
      </w:pPr>
      <w:r>
        <w:rPr>
          <w:rFonts w:ascii="Arial" w:cs="Arial" w:eastAsia="Arial" w:hAnsi="Arial"/>
          <w:sz w:val="24"/>
          <w:szCs w:val="24"/>
        </w:rPr>
        <w:t xml:space="preserve">84. Учетными документами являются статистические карточки, а также их отображение в электронном виде, предназначенное для автоматизированной обработки сведений об объектах учета.</w:t>
      </w:r>
    </w:p>
    <w:p>
      <w:pPr>
        <w:spacing w:after="120"/>
        <w:jc w:val="both"/>
      </w:pPr>
      <w:r>
        <w:rPr>
          <w:rFonts w:ascii="Arial" w:cs="Arial" w:eastAsia="Arial" w:hAnsi="Arial"/>
          <w:sz w:val="24"/>
          <w:szCs w:val="24"/>
        </w:rPr>
        <w:t xml:space="preserve">85. Для обеспечения формирования государственных и ведомственных статистических показателей (статистического учета) используются статистические карточки (или документы первичного учета), указанные в пункте 2 настоящего Положения ("Учетные документы").</w:t>
      </w:r>
    </w:p>
    <w:p>
      <w:pPr>
        <w:spacing w:after="120"/>
        <w:jc w:val="both"/>
      </w:pPr>
      <w:r>
        <w:rPr>
          <w:rFonts w:ascii="Arial" w:cs="Arial" w:eastAsia="Arial" w:hAnsi="Arial"/>
          <w:sz w:val="24"/>
          <w:szCs w:val="24"/>
        </w:rPr>
        <w:t xml:space="preserve">86. Для присвоения номера уголовному делу, фиксирования основных сведений об объектах учета, а также обеспечения контроля за полнотой учета используются следующие журналы:</w:t>
      </w:r>
    </w:p>
    <w:p>
      <w:pPr>
        <w:spacing w:after="120"/>
        <w:jc w:val="both"/>
      </w:pPr>
      <w:r>
        <w:rPr>
          <w:rFonts w:ascii="Arial" w:cs="Arial" w:eastAsia="Arial" w:hAnsi="Arial"/>
          <w:sz w:val="24"/>
          <w:szCs w:val="24"/>
        </w:rPr>
        <w:t xml:space="preserve">- Единый журнал учета преступлений, лиц их совершивших, и движения уголовных дел по форме согласно приложению 1 к настоящему Положению;</w:t>
      </w:r>
    </w:p>
    <w:p>
      <w:pPr>
        <w:spacing w:after="120"/>
        <w:jc w:val="both"/>
      </w:pPr>
      <w:r>
        <w:rPr>
          <w:rFonts w:ascii="Arial" w:cs="Arial" w:eastAsia="Arial" w:hAnsi="Arial"/>
          <w:sz w:val="24"/>
          <w:szCs w:val="24"/>
        </w:rPr>
        <w:t xml:space="preserve">- Контрольный журнал учета преступлений, лиц их совершивших, и движения уголовных дел по форме согласно приложению 2 к настоящему Положению;</w:t>
      </w:r>
    </w:p>
    <w:p>
      <w:pPr>
        <w:spacing w:after="120"/>
        <w:jc w:val="both"/>
      </w:pPr>
      <w:r>
        <w:rPr>
          <w:rFonts w:ascii="Arial" w:cs="Arial" w:eastAsia="Arial" w:hAnsi="Arial"/>
          <w:sz w:val="24"/>
          <w:szCs w:val="24"/>
        </w:rPr>
        <w:t xml:space="preserve">- Журнал учета материалов, по которым вынесены постановления об отказе в возбуждении уголовного дела по форме согласно приложению 3 к настоящему Положению.</w:t>
      </w:r>
    </w:p>
    <w:p>
      <w:pPr>
        <w:spacing w:after="120"/>
        <w:jc w:val="both"/>
      </w:pPr>
      <w:r>
        <w:rPr>
          <w:rFonts w:ascii="Arial" w:cs="Arial" w:eastAsia="Arial" w:hAnsi="Arial"/>
          <w:sz w:val="24"/>
          <w:szCs w:val="24"/>
        </w:rPr>
        <w:t xml:space="preserve">Глава 2. Общие правила заполнения и представления единых статистических карточек</w:t>
      </w:r>
    </w:p>
    <w:p>
      <w:pPr>
        <w:spacing w:after="120"/>
        <w:jc w:val="both"/>
      </w:pPr>
      <w:r>
        <w:rPr>
          <w:rFonts w:ascii="Arial" w:cs="Arial" w:eastAsia="Arial" w:hAnsi="Arial"/>
          <w:sz w:val="24"/>
          <w:szCs w:val="24"/>
        </w:rPr>
        <w:t xml:space="preserve">87. Единые статистические карточки форм №№ 1.0, 2.0, 3 и 1.П состоят из двух разделов, а форм №№ 1.1, 1.2, 2.1 - из трех разделов приведенных в приложении 4 к настоящему Положению.</w:t>
      </w:r>
    </w:p>
    <w:p>
      <w:pPr>
        <w:spacing w:after="120"/>
        <w:jc w:val="both"/>
      </w:pPr>
      <w:r>
        <w:rPr>
          <w:rFonts w:ascii="Arial" w:cs="Arial" w:eastAsia="Arial" w:hAnsi="Arial"/>
          <w:sz w:val="24"/>
          <w:szCs w:val="24"/>
        </w:rPr>
        <w:t xml:space="preserve">88. Единые статистические карточки заполняются:</w:t>
      </w:r>
    </w:p>
    <w:p>
      <w:pPr>
        <w:spacing w:after="120"/>
        <w:jc w:val="both"/>
      </w:pPr>
      <w:r>
        <w:rPr>
          <w:rFonts w:ascii="Arial" w:cs="Arial" w:eastAsia="Arial" w:hAnsi="Arial"/>
          <w:sz w:val="24"/>
          <w:szCs w:val="24"/>
        </w:rPr>
        <w:t xml:space="preserve">- раздел 1 - сотрудником учетно-регистрационного подразделения;</w:t>
      </w:r>
    </w:p>
    <w:p>
      <w:pPr>
        <w:spacing w:after="120"/>
        <w:jc w:val="both"/>
      </w:pPr>
      <w:r>
        <w:rPr>
          <w:rFonts w:ascii="Arial" w:cs="Arial" w:eastAsia="Arial" w:hAnsi="Arial"/>
          <w:sz w:val="24"/>
          <w:szCs w:val="24"/>
        </w:rPr>
        <w:t xml:space="preserve">- раздел 2 - прокурором, следователем, должностным лицом, уполномоченным органом дознания осуществлять ускоренное досудебное производство, судьей;</w:t>
      </w:r>
    </w:p>
    <w:p>
      <w:pPr>
        <w:spacing w:after="120"/>
        <w:jc w:val="both"/>
      </w:pPr>
      <w:r>
        <w:rPr>
          <w:rFonts w:ascii="Arial" w:cs="Arial" w:eastAsia="Arial" w:hAnsi="Arial"/>
          <w:sz w:val="24"/>
          <w:szCs w:val="24"/>
        </w:rPr>
        <w:t xml:space="preserve">- раздел 3 - в форме № 1.1 - руководителем органа на основании информации о результатах проведения оперативно-розыскных и иных мероприятий, в форме № 1.2 - единая статистическая карточка о результатах рассмотрения дела судом первой и второй инстанций - судьей на основании вынесенного решения по уголовному делу и делам частного обвинения.</w:t>
      </w:r>
    </w:p>
    <w:p>
      <w:pPr>
        <w:spacing w:after="120"/>
        <w:jc w:val="both"/>
      </w:pPr>
      <w:r>
        <w:rPr>
          <w:rFonts w:ascii="Arial" w:cs="Arial" w:eastAsia="Arial" w:hAnsi="Arial"/>
          <w:sz w:val="24"/>
          <w:szCs w:val="24"/>
        </w:rPr>
        <w:t xml:space="preserve">89. Следователь, должностное лицо, уполномоченное органом дознания осуществлять ускоренное досудебное производство, заполняют статистические карточки, подписывают и передают их в учетно-регистрационные подразделения правоохранительных органов для внесения сведений в Единый журнал, переноса данных на электронный носитель и последующего направления в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90. Заполнение реквизитов документов первичного учета производится вписыванием текстовой информации машинным, компьютерным способом или от руки (разборчивым почерком), а также путем подчеркивания или округления соответствующего значения реквизита.</w:t>
      </w:r>
    </w:p>
    <w:p>
      <w:pPr>
        <w:spacing w:after="120"/>
        <w:jc w:val="both"/>
      </w:pPr>
      <w:r>
        <w:rPr>
          <w:rFonts w:ascii="Arial" w:cs="Arial" w:eastAsia="Arial" w:hAnsi="Arial"/>
          <w:sz w:val="24"/>
          <w:szCs w:val="24"/>
        </w:rPr>
        <w:t xml:space="preserve">91. Заполнение документов первичного учета производится разборчиво и без сокращений. Фамилия, имя и отчество лица, совершившего преступление, записываются печатными буквами. Фамилии лиц, подписавших документы первичного учета, должны указываться полностью.</w:t>
      </w:r>
    </w:p>
    <w:p>
      <w:pPr>
        <w:spacing w:after="120"/>
        <w:jc w:val="both"/>
      </w:pPr>
      <w:r>
        <w:rPr>
          <w:rFonts w:ascii="Arial" w:cs="Arial" w:eastAsia="Arial" w:hAnsi="Arial"/>
          <w:sz w:val="24"/>
          <w:szCs w:val="24"/>
        </w:rPr>
        <w:t xml:space="preserve">92. При заполнении документов первичного учета применяются следующие справочники, которые составляются Генеральной прокуратурой Кыргызской Республики и используются для кодификации при автоматизированной обработке данных и составления статистических отчетов:</w:t>
      </w:r>
    </w:p>
    <w:p>
      <w:pPr>
        <w:spacing w:after="120"/>
        <w:jc w:val="both"/>
      </w:pPr>
      <w:r>
        <w:rPr>
          <w:rFonts w:ascii="Arial" w:cs="Arial" w:eastAsia="Arial" w:hAnsi="Arial"/>
          <w:sz w:val="24"/>
          <w:szCs w:val="24"/>
        </w:rPr>
        <w:t xml:space="preserve">- справочник № 1 - место совершения преступления;</w:t>
      </w:r>
    </w:p>
    <w:p>
      <w:pPr>
        <w:spacing w:after="120"/>
        <w:jc w:val="both"/>
      </w:pPr>
      <w:r>
        <w:rPr>
          <w:rFonts w:ascii="Arial" w:cs="Arial" w:eastAsia="Arial" w:hAnsi="Arial"/>
          <w:sz w:val="24"/>
          <w:szCs w:val="24"/>
        </w:rPr>
        <w:t xml:space="preserve">- справочник № 2 - предмет преступного посягательства или незаконного оборота;</w:t>
      </w:r>
    </w:p>
    <w:p>
      <w:pPr>
        <w:spacing w:after="120"/>
        <w:jc w:val="both"/>
      </w:pPr>
      <w:r>
        <w:rPr>
          <w:rFonts w:ascii="Arial" w:cs="Arial" w:eastAsia="Arial" w:hAnsi="Arial"/>
          <w:sz w:val="24"/>
          <w:szCs w:val="24"/>
        </w:rPr>
        <w:t xml:space="preserve">- справочник № 3 - национальности;</w:t>
      </w:r>
    </w:p>
    <w:p>
      <w:pPr>
        <w:spacing w:after="120"/>
        <w:jc w:val="both"/>
      </w:pPr>
      <w:r>
        <w:rPr>
          <w:rFonts w:ascii="Arial" w:cs="Arial" w:eastAsia="Arial" w:hAnsi="Arial"/>
          <w:sz w:val="24"/>
          <w:szCs w:val="24"/>
        </w:rPr>
        <w:t xml:space="preserve">- справочник № 4 - страны (государства);</w:t>
      </w:r>
    </w:p>
    <w:p>
      <w:pPr>
        <w:spacing w:after="120"/>
        <w:jc w:val="both"/>
      </w:pPr>
      <w:r>
        <w:rPr>
          <w:rFonts w:ascii="Arial" w:cs="Arial" w:eastAsia="Arial" w:hAnsi="Arial"/>
          <w:sz w:val="24"/>
          <w:szCs w:val="24"/>
        </w:rPr>
        <w:t xml:space="preserve">- справочник № 5 - валюта;</w:t>
      </w:r>
    </w:p>
    <w:p>
      <w:pPr>
        <w:spacing w:after="120"/>
        <w:jc w:val="both"/>
      </w:pPr>
      <w:r>
        <w:rPr>
          <w:rFonts w:ascii="Arial" w:cs="Arial" w:eastAsia="Arial" w:hAnsi="Arial"/>
          <w:sz w:val="24"/>
          <w:szCs w:val="24"/>
        </w:rPr>
        <w:t xml:space="preserve">- справочник № 6 - наркотические средства;</w:t>
      </w:r>
    </w:p>
    <w:p>
      <w:pPr>
        <w:spacing w:after="120"/>
        <w:jc w:val="both"/>
      </w:pPr>
      <w:r>
        <w:rPr>
          <w:rFonts w:ascii="Arial" w:cs="Arial" w:eastAsia="Arial" w:hAnsi="Arial"/>
          <w:sz w:val="24"/>
          <w:szCs w:val="24"/>
        </w:rPr>
        <w:t xml:space="preserve">- справочник № 7 - социальное положение потерпевших и лиц, совершивших преступление;</w:t>
      </w:r>
    </w:p>
    <w:p>
      <w:pPr>
        <w:spacing w:after="120"/>
        <w:jc w:val="both"/>
      </w:pPr>
      <w:r>
        <w:rPr>
          <w:rFonts w:ascii="Arial" w:cs="Arial" w:eastAsia="Arial" w:hAnsi="Arial"/>
          <w:sz w:val="24"/>
          <w:szCs w:val="24"/>
        </w:rPr>
        <w:t xml:space="preserve">- справочник № 8 - должностное положение потерпевших и лиц, совершивших преступление;</w:t>
      </w:r>
    </w:p>
    <w:p>
      <w:pPr>
        <w:spacing w:after="120"/>
        <w:jc w:val="both"/>
      </w:pPr>
      <w:r>
        <w:rPr>
          <w:rFonts w:ascii="Arial" w:cs="Arial" w:eastAsia="Arial" w:hAnsi="Arial"/>
          <w:sz w:val="24"/>
          <w:szCs w:val="24"/>
        </w:rPr>
        <w:t xml:space="preserve">- справочник № 9 - характеристика группы;</w:t>
      </w:r>
    </w:p>
    <w:p>
      <w:pPr>
        <w:spacing w:after="120"/>
        <w:jc w:val="both"/>
      </w:pPr>
      <w:r>
        <w:rPr>
          <w:rFonts w:ascii="Arial" w:cs="Arial" w:eastAsia="Arial" w:hAnsi="Arial"/>
          <w:sz w:val="24"/>
          <w:szCs w:val="24"/>
        </w:rPr>
        <w:t xml:space="preserve">- справочник № 10 - дополнительная характеристика преступления;</w:t>
      </w:r>
    </w:p>
    <w:p>
      <w:pPr>
        <w:spacing w:after="120"/>
        <w:jc w:val="both"/>
      </w:pPr>
      <w:r>
        <w:rPr>
          <w:rFonts w:ascii="Arial" w:cs="Arial" w:eastAsia="Arial" w:hAnsi="Arial"/>
          <w:sz w:val="24"/>
          <w:szCs w:val="24"/>
        </w:rPr>
        <w:t xml:space="preserve">- справочник № 11 - потерпевшие;</w:t>
      </w:r>
    </w:p>
    <w:p>
      <w:pPr>
        <w:spacing w:after="120"/>
        <w:jc w:val="both"/>
      </w:pPr>
      <w:r>
        <w:rPr>
          <w:rFonts w:ascii="Arial" w:cs="Arial" w:eastAsia="Arial" w:hAnsi="Arial"/>
          <w:sz w:val="24"/>
          <w:szCs w:val="24"/>
        </w:rPr>
        <w:t xml:space="preserve">- справочник № 12 - преступление совершено с применением;</w:t>
      </w:r>
    </w:p>
    <w:p>
      <w:pPr>
        <w:spacing w:after="120"/>
        <w:jc w:val="both"/>
      </w:pPr>
      <w:r>
        <w:rPr>
          <w:rFonts w:ascii="Arial" w:cs="Arial" w:eastAsia="Arial" w:hAnsi="Arial"/>
          <w:sz w:val="24"/>
          <w:szCs w:val="24"/>
        </w:rPr>
        <w:t xml:space="preserve">- справочник № 13 - классификатор отраслей;</w:t>
      </w:r>
    </w:p>
    <w:p>
      <w:pPr>
        <w:spacing w:after="120"/>
        <w:jc w:val="both"/>
      </w:pPr>
      <w:r>
        <w:rPr>
          <w:rFonts w:ascii="Arial" w:cs="Arial" w:eastAsia="Arial" w:hAnsi="Arial"/>
          <w:sz w:val="24"/>
          <w:szCs w:val="24"/>
        </w:rPr>
        <w:t xml:space="preserve">- справочник № 14 - организационно-правовые формы хозяйствующих субъектов;</w:t>
      </w:r>
    </w:p>
    <w:p>
      <w:pPr>
        <w:spacing w:after="120"/>
        <w:jc w:val="both"/>
      </w:pPr>
      <w:r>
        <w:rPr>
          <w:rFonts w:ascii="Arial" w:cs="Arial" w:eastAsia="Arial" w:hAnsi="Arial"/>
          <w:sz w:val="24"/>
          <w:szCs w:val="24"/>
        </w:rPr>
        <w:t xml:space="preserve">- справочник № 15 - способ совершения преступления;</w:t>
      </w:r>
    </w:p>
    <w:p>
      <w:pPr>
        <w:spacing w:after="120"/>
        <w:jc w:val="both"/>
      </w:pPr>
      <w:r>
        <w:rPr>
          <w:rFonts w:ascii="Arial" w:cs="Arial" w:eastAsia="Arial" w:hAnsi="Arial"/>
          <w:sz w:val="24"/>
          <w:szCs w:val="24"/>
        </w:rPr>
        <w:t xml:space="preserve">- справочник № 16 - шифр района (города);</w:t>
      </w:r>
    </w:p>
    <w:p>
      <w:pPr>
        <w:spacing w:after="120"/>
        <w:jc w:val="both"/>
      </w:pPr>
      <w:r>
        <w:rPr>
          <w:rFonts w:ascii="Arial" w:cs="Arial" w:eastAsia="Arial" w:hAnsi="Arial"/>
          <w:sz w:val="24"/>
          <w:szCs w:val="24"/>
        </w:rPr>
        <w:t xml:space="preserve">- справочник № 17 - результат расследования;</w:t>
      </w:r>
    </w:p>
    <w:p>
      <w:pPr>
        <w:spacing w:after="120"/>
        <w:jc w:val="both"/>
      </w:pPr>
      <w:r>
        <w:rPr>
          <w:rFonts w:ascii="Arial" w:cs="Arial" w:eastAsia="Arial" w:hAnsi="Arial"/>
          <w:sz w:val="24"/>
          <w:szCs w:val="24"/>
        </w:rPr>
        <w:t xml:space="preserve">- справочник № 18 - оружие, боеприпасы и взрывчатые материалы;</w:t>
      </w:r>
    </w:p>
    <w:p>
      <w:pPr>
        <w:spacing w:after="120"/>
        <w:jc w:val="both"/>
      </w:pPr>
      <w:r>
        <w:rPr>
          <w:rFonts w:ascii="Arial" w:cs="Arial" w:eastAsia="Arial" w:hAnsi="Arial"/>
          <w:sz w:val="24"/>
          <w:szCs w:val="24"/>
        </w:rPr>
        <w:t xml:space="preserve">- справочник № 19 - перечень статей Уголовного </w:t>
      </w:r>
      <w:hyperlink w:history="1" r:id="rIdjrbgz7t1kehrhlou3_y3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линиям работы.</w:t>
      </w:r>
    </w:p>
    <w:p>
      <w:pPr>
        <w:spacing w:after="120"/>
        <w:jc w:val="both"/>
      </w:pPr>
      <w:r>
        <w:rPr>
          <w:rFonts w:ascii="Arial" w:cs="Arial" w:eastAsia="Arial" w:hAnsi="Arial"/>
          <w:sz w:val="24"/>
          <w:szCs w:val="24"/>
        </w:rPr>
        <w:t xml:space="preserve">93. Содержание заполненных реквизитов документов первичного учета должно полностью соответствовать имеющимся в уголовном деле материалам.</w:t>
      </w:r>
    </w:p>
    <w:p>
      <w:pPr>
        <w:spacing w:after="120"/>
        <w:jc w:val="both"/>
      </w:pPr>
      <w:r>
        <w:rPr>
          <w:rFonts w:ascii="Arial" w:cs="Arial" w:eastAsia="Arial" w:hAnsi="Arial"/>
          <w:sz w:val="24"/>
          <w:szCs w:val="24"/>
        </w:rPr>
        <w:t xml:space="preserve">Исправления, внесенные в документы первичного учета, должны в обязательном порядке заверяться подписью с указанием фамилии лица, их производившего, и даты внесения.</w:t>
      </w:r>
    </w:p>
    <w:p>
      <w:pPr>
        <w:spacing w:after="120"/>
        <w:jc w:val="both"/>
      </w:pPr>
      <w:r>
        <w:rPr>
          <w:rFonts w:ascii="Arial" w:cs="Arial" w:eastAsia="Arial" w:hAnsi="Arial"/>
          <w:sz w:val="24"/>
          <w:szCs w:val="24"/>
        </w:rPr>
        <w:t xml:space="preserve">Глава 3. Заполнение и представление единой статистической карточки формы № 1.0</w:t>
      </w:r>
    </w:p>
    <w:p>
      <w:pPr>
        <w:spacing w:after="120"/>
        <w:jc w:val="both"/>
      </w:pPr>
      <w:r>
        <w:rPr>
          <w:rFonts w:ascii="Arial" w:cs="Arial" w:eastAsia="Arial" w:hAnsi="Arial"/>
          <w:sz w:val="24"/>
          <w:szCs w:val="24"/>
        </w:rPr>
        <w:t xml:space="preserve">94. Единая статистическая карточка формы № 1.0 выставляется отдельно на каждое преступление (на основе его юридической квалификации по конкретной норме </w:t>
      </w:r>
      <w:hyperlink w:history="1" r:id="rIdaqznpnnou66o_sla6jj1z">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по факту совершения которого независимо от времени его совершения: возбуждено уголовное дело; вынесено постановление об отказе в возбуждении уголовного дела по нереабилитирующим основаниям; вынесен обвинительный приговор или прекращено по нереабилитирующим основаниям по делу частного обвинения.</w:t>
      </w:r>
    </w:p>
    <w:p>
      <w:pPr>
        <w:spacing w:after="120"/>
        <w:jc w:val="both"/>
      </w:pPr>
      <w:r>
        <w:rPr>
          <w:rFonts w:ascii="Arial" w:cs="Arial" w:eastAsia="Arial" w:hAnsi="Arial"/>
          <w:sz w:val="24"/>
          <w:szCs w:val="24"/>
        </w:rPr>
        <w:t xml:space="preserve">95. Основаниями заполнения единой статистической карточки формы № 1.0 являются:</w:t>
      </w:r>
    </w:p>
    <w:p>
      <w:pPr>
        <w:spacing w:after="120"/>
        <w:jc w:val="both"/>
      </w:pPr>
      <w:r>
        <w:rPr>
          <w:rFonts w:ascii="Arial" w:cs="Arial" w:eastAsia="Arial" w:hAnsi="Arial"/>
          <w:sz w:val="24"/>
          <w:szCs w:val="24"/>
        </w:rPr>
        <w:t xml:space="preserve">- постановление о возбуждении уголовного дела;</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w:t>
      </w:r>
    </w:p>
    <w:p>
      <w:pPr>
        <w:spacing w:after="120"/>
        <w:jc w:val="both"/>
      </w:pPr>
      <w:r>
        <w:rPr>
          <w:rFonts w:ascii="Arial" w:cs="Arial" w:eastAsia="Arial" w:hAnsi="Arial"/>
          <w:sz w:val="24"/>
          <w:szCs w:val="24"/>
        </w:rPr>
        <w:t xml:space="preserve">- утвержденный прокурором протокол ускоренного досудебного производства;</w:t>
      </w:r>
    </w:p>
    <w:p>
      <w:pPr>
        <w:spacing w:after="120"/>
        <w:jc w:val="both"/>
      </w:pPr>
      <w:r>
        <w:rPr>
          <w:rFonts w:ascii="Arial" w:cs="Arial" w:eastAsia="Arial" w:hAnsi="Arial"/>
          <w:sz w:val="24"/>
          <w:szCs w:val="24"/>
        </w:rPr>
        <w:t xml:space="preserve">- постановление об отмене постановления о прекращении уголовного дела (уголовного преследования) и о возобновлении производства по уголовному делу, ранее прекращенному со снятием преступления с учета;</w:t>
      </w:r>
    </w:p>
    <w:p>
      <w:pPr>
        <w:spacing w:after="120"/>
        <w:jc w:val="both"/>
      </w:pPr>
      <w:r>
        <w:rPr>
          <w:rFonts w:ascii="Arial" w:cs="Arial" w:eastAsia="Arial" w:hAnsi="Arial"/>
          <w:sz w:val="24"/>
          <w:szCs w:val="24"/>
        </w:rPr>
        <w:t xml:space="preserve">- постановление о принятии к производству уголовного дела, поступившего из компетентного органа иностранного государства;</w:t>
      </w:r>
    </w:p>
    <w:p>
      <w:pPr>
        <w:spacing w:after="120"/>
        <w:jc w:val="both"/>
      </w:pPr>
      <w:r>
        <w:rPr>
          <w:rFonts w:ascii="Arial" w:cs="Arial" w:eastAsia="Arial" w:hAnsi="Arial"/>
          <w:sz w:val="24"/>
          <w:szCs w:val="24"/>
        </w:rPr>
        <w:t xml:space="preserve">- постановление о выделении уголовного дела;</w:t>
      </w:r>
    </w:p>
    <w:p>
      <w:pPr>
        <w:spacing w:after="120"/>
        <w:jc w:val="both"/>
      </w:pPr>
      <w:r>
        <w:rPr>
          <w:rFonts w:ascii="Arial" w:cs="Arial" w:eastAsia="Arial" w:hAnsi="Arial"/>
          <w:sz w:val="24"/>
          <w:szCs w:val="24"/>
        </w:rPr>
        <w:t xml:space="preserve">- вступивший в законную силу обвинительный приговор суда или постановление о прекращении дела по нереабилитирующим основаниям по делу частного обвинения.</w:t>
      </w:r>
    </w:p>
    <w:p>
      <w:pPr>
        <w:spacing w:after="120"/>
        <w:jc w:val="both"/>
      </w:pPr>
      <w:r>
        <w:rPr>
          <w:rFonts w:ascii="Arial" w:cs="Arial" w:eastAsia="Arial" w:hAnsi="Arial"/>
          <w:sz w:val="24"/>
          <w:szCs w:val="24"/>
        </w:rPr>
        <w:t xml:space="preserve">96. Единая статистическая карточка формы № 1.0 учитывается подразделениями правовой статистики и учетов органов прокуратуры только при наличии заверенной печатью подписи соответствующего прокурора.</w:t>
      </w:r>
    </w:p>
    <w:p>
      <w:pPr>
        <w:spacing w:after="120"/>
        <w:jc w:val="both"/>
      </w:pPr>
      <w:r>
        <w:rPr>
          <w:rFonts w:ascii="Arial" w:cs="Arial" w:eastAsia="Arial" w:hAnsi="Arial"/>
          <w:sz w:val="24"/>
          <w:szCs w:val="24"/>
        </w:rPr>
        <w:t xml:space="preserve">97. При заполнении статистической карточки формы № 1.0 должны выполняться следующие требования:</w:t>
      </w:r>
    </w:p>
    <w:p>
      <w:pPr>
        <w:spacing w:after="120"/>
        <w:jc w:val="both"/>
      </w:pPr>
      <w:r>
        <w:rPr>
          <w:rFonts w:ascii="Arial" w:cs="Arial" w:eastAsia="Arial" w:hAnsi="Arial"/>
          <w:sz w:val="24"/>
          <w:szCs w:val="24"/>
        </w:rPr>
        <w:t xml:space="preserve">- обязательно заполнение реквизитов 1-7, 9-15 и 19, остальные реквизиты заполняются в соответствии с материалами уголовного дела;</w:t>
      </w:r>
    </w:p>
    <w:p>
      <w:pPr>
        <w:spacing w:after="120"/>
        <w:jc w:val="both"/>
      </w:pPr>
      <w:r>
        <w:rPr>
          <w:rFonts w:ascii="Arial" w:cs="Arial" w:eastAsia="Arial" w:hAnsi="Arial"/>
          <w:sz w:val="24"/>
          <w:szCs w:val="24"/>
        </w:rPr>
        <w:t xml:space="preserve">- реквизит 8 заполняется только на неоконченное преступление; в реквизите указывается сотрудниками какой структуры правоохранительного органа или силами общественности предотвращено преступление на стадии приготовления, покушения; при наличии сведений в реквизите 8 обязательно заполнение реквизита 17;</w:t>
      </w:r>
    </w:p>
    <w:p>
      <w:pPr>
        <w:spacing w:after="120"/>
        <w:jc w:val="both"/>
      </w:pPr>
      <w:r>
        <w:rPr>
          <w:rFonts w:ascii="Arial" w:cs="Arial" w:eastAsia="Arial" w:hAnsi="Arial"/>
          <w:sz w:val="24"/>
          <w:szCs w:val="24"/>
        </w:rPr>
        <w:t xml:space="preserve">- в реквизите 14 кратко излагается фабула преступления, при этом указываются дата и время совершения преступления, место и способ его совершения, характерные особенности и другие существенные обстоятельства, фамилии и инициалы потерпевших, характер нанесенного ущерба или причиненного вреда (сумма нанесенного материального ущерба или причиненного вреда, учитывается на момент возбуждения уголовного дела);</w:t>
      </w:r>
    </w:p>
    <w:p>
      <w:pPr>
        <w:spacing w:after="120"/>
        <w:jc w:val="both"/>
      </w:pPr>
      <w:r>
        <w:rPr>
          <w:rFonts w:ascii="Arial" w:cs="Arial" w:eastAsia="Arial" w:hAnsi="Arial"/>
          <w:sz w:val="24"/>
          <w:szCs w:val="24"/>
        </w:rPr>
        <w:t xml:space="preserve">- в реквизите 14.1 в случае изъятия наркотиков указываются вид (по справочнику № 6) и вес (в граммах) наркотика;</w:t>
      </w:r>
    </w:p>
    <w:p>
      <w:pPr>
        <w:spacing w:after="120"/>
        <w:jc w:val="both"/>
      </w:pPr>
      <w:r>
        <w:rPr>
          <w:rFonts w:ascii="Arial" w:cs="Arial" w:eastAsia="Arial" w:hAnsi="Arial"/>
          <w:sz w:val="24"/>
          <w:szCs w:val="24"/>
        </w:rPr>
        <w:t xml:space="preserve">- реквизит 20 обязателен к заполнению, если преступление совершено в общественном месте, в том числе на улице.</w:t>
      </w:r>
    </w:p>
    <w:p>
      <w:pPr>
        <w:spacing w:after="120"/>
        <w:jc w:val="both"/>
      </w:pPr>
      <w:r>
        <w:rPr>
          <w:rFonts w:ascii="Arial" w:cs="Arial" w:eastAsia="Arial" w:hAnsi="Arial"/>
          <w:sz w:val="24"/>
          <w:szCs w:val="24"/>
        </w:rPr>
        <w:t xml:space="preserve">В показателе "преступление совершено в общественном месте" отражаются сведения о преступлениях, совершенных:</w:t>
      </w:r>
    </w:p>
    <w:p>
      <w:pPr>
        <w:spacing w:after="120"/>
        <w:jc w:val="both"/>
      </w:pPr>
      <w:r>
        <w:rPr>
          <w:rFonts w:ascii="Arial" w:cs="Arial" w:eastAsia="Arial" w:hAnsi="Arial"/>
          <w:sz w:val="24"/>
          <w:szCs w:val="24"/>
        </w:rPr>
        <w:t xml:space="preserve">1) в местах, предназначенных для общего пользования гражданами, во время реализации в этих местах общественных функций;</w:t>
      </w:r>
    </w:p>
    <w:p>
      <w:pPr>
        <w:spacing w:after="120"/>
        <w:jc w:val="both"/>
      </w:pPr>
      <w:r>
        <w:rPr>
          <w:rFonts w:ascii="Arial" w:cs="Arial" w:eastAsia="Arial" w:hAnsi="Arial"/>
          <w:sz w:val="24"/>
          <w:szCs w:val="24"/>
        </w:rPr>
        <w:t xml:space="preserve">2) в местах, используемых гражданами для передвижения, работы, учебы, отдыха, проведения массовых мероприятий, а также в местах общего пользования;</w:t>
      </w:r>
    </w:p>
    <w:p>
      <w:pPr>
        <w:spacing w:after="120"/>
        <w:jc w:val="both"/>
      </w:pPr>
      <w:r>
        <w:rPr>
          <w:rFonts w:ascii="Arial" w:cs="Arial" w:eastAsia="Arial" w:hAnsi="Arial"/>
          <w:sz w:val="24"/>
          <w:szCs w:val="24"/>
        </w:rPr>
        <w:t xml:space="preserve">3) в местах с открытым свободным доступом в любое время года и суток (улицы, площади, бульвары, скверы и т.п.);</w:t>
      </w:r>
    </w:p>
    <w:p>
      <w:pPr>
        <w:spacing w:after="120"/>
        <w:jc w:val="both"/>
      </w:pPr>
      <w:r>
        <w:rPr>
          <w:rFonts w:ascii="Arial" w:cs="Arial" w:eastAsia="Arial" w:hAnsi="Arial"/>
          <w:sz w:val="24"/>
          <w:szCs w:val="24"/>
        </w:rPr>
        <w:t xml:space="preserve">4) в помещениях и на территориях учреждений, предприятий, организаций, предназначенных для обслуживания населения в установленные часы работы (зрелищные учреждения, общественный транспорт, предприятия торговли, общественного питания и бытового обслуживания, спортивные учреждения, лесопарковые зоны, берега открытых водоемов (озера, пруды, водохранилища), непосредственно водоемы и прилегающие к ним зоны отдыха и зеленых насаждений в черте городов и других населенных пунктов, а также используемые во время проведения санкционированных массовых мероприятий (гуляний) территории, находящиеся за чертой населенного пункта).</w:t>
      </w:r>
    </w:p>
    <w:p>
      <w:pPr>
        <w:spacing w:after="120"/>
        <w:jc w:val="both"/>
      </w:pPr>
      <w:r>
        <w:rPr>
          <w:rFonts w:ascii="Arial" w:cs="Arial" w:eastAsia="Arial" w:hAnsi="Arial"/>
          <w:sz w:val="24"/>
          <w:szCs w:val="24"/>
        </w:rPr>
        <w:t xml:space="preserve">При заполнении показателя "преступление совершено в общественном месте" не отражаются сведения о преступлениях, совершенных:</w:t>
      </w:r>
    </w:p>
    <w:p>
      <w:pPr>
        <w:spacing w:after="120"/>
        <w:jc w:val="both"/>
      </w:pPr>
      <w:r>
        <w:rPr>
          <w:rFonts w:ascii="Arial" w:cs="Arial" w:eastAsia="Arial" w:hAnsi="Arial"/>
          <w:sz w:val="24"/>
          <w:szCs w:val="24"/>
        </w:rPr>
        <w:t xml:space="preserve">1) на территории частных владений;</w:t>
      </w:r>
    </w:p>
    <w:p>
      <w:pPr>
        <w:spacing w:after="120"/>
        <w:jc w:val="both"/>
      </w:pPr>
      <w:r>
        <w:rPr>
          <w:rFonts w:ascii="Arial" w:cs="Arial" w:eastAsia="Arial" w:hAnsi="Arial"/>
          <w:sz w:val="24"/>
          <w:szCs w:val="24"/>
        </w:rPr>
        <w:t xml:space="preserve">2) в квартирах (частных домовладениях) граждан;</w:t>
      </w:r>
    </w:p>
    <w:p>
      <w:pPr>
        <w:spacing w:after="120"/>
        <w:jc w:val="both"/>
      </w:pPr>
      <w:r>
        <w:rPr>
          <w:rFonts w:ascii="Arial" w:cs="Arial" w:eastAsia="Arial" w:hAnsi="Arial"/>
          <w:sz w:val="24"/>
          <w:szCs w:val="24"/>
        </w:rPr>
        <w:t xml:space="preserve">3) на чердаках и в подвалах, не оборудованных для общего пользования граждан (спортивных, зрелищных и иных мероприятий), на лестницах, межэтажных переходах, в лифтах, местах общего пользования коммунальных квартир и т.п.;</w:t>
      </w:r>
    </w:p>
    <w:p>
      <w:pPr>
        <w:spacing w:after="120"/>
        <w:jc w:val="both"/>
      </w:pPr>
      <w:r>
        <w:rPr>
          <w:rFonts w:ascii="Arial" w:cs="Arial" w:eastAsia="Arial" w:hAnsi="Arial"/>
          <w:sz w:val="24"/>
          <w:szCs w:val="24"/>
        </w:rPr>
        <w:t xml:space="preserve">4) на территории охраняемых объектов.</w:t>
      </w:r>
    </w:p>
    <w:p>
      <w:pPr>
        <w:spacing w:after="120"/>
        <w:jc w:val="both"/>
      </w:pPr>
      <w:r>
        <w:rPr>
          <w:rFonts w:ascii="Arial" w:cs="Arial" w:eastAsia="Arial" w:hAnsi="Arial"/>
          <w:sz w:val="24"/>
          <w:szCs w:val="24"/>
        </w:rPr>
        <w:t xml:space="preserve">Не учитываются как совершенные в общественных местах, в том числе на улицах, преступления, совершенные в местах общественного пользования, не выполнявших в момент совершения противоправного деяния никаких общественных функций:</w:t>
      </w:r>
    </w:p>
    <w:p>
      <w:pPr>
        <w:spacing w:after="120"/>
        <w:jc w:val="both"/>
      </w:pPr>
      <w:r>
        <w:rPr>
          <w:rFonts w:ascii="Arial" w:cs="Arial" w:eastAsia="Arial" w:hAnsi="Arial"/>
          <w:sz w:val="24"/>
          <w:szCs w:val="24"/>
        </w:rPr>
        <w:t xml:space="preserve">1) закрытые и нефункционирующие общежития, гостиницы, санатории, дома отдыха, пансионаты, профилактории и т.п., не работающие в определенные периоды времени суток, недели, сезона, года;</w:t>
      </w:r>
    </w:p>
    <w:p>
      <w:pPr>
        <w:spacing w:after="120"/>
        <w:jc w:val="both"/>
      </w:pPr>
      <w:r>
        <w:rPr>
          <w:rFonts w:ascii="Arial" w:cs="Arial" w:eastAsia="Arial" w:hAnsi="Arial"/>
          <w:sz w:val="24"/>
          <w:szCs w:val="24"/>
        </w:rPr>
        <w:t xml:space="preserve">2) места отдыха граждан: клубы, театры, выставки, музеи, публичные библиотеки, стадионы, танцевальные площадки и т.п., когда они закрыты для доступа посетителей;</w:t>
      </w:r>
    </w:p>
    <w:p>
      <w:pPr>
        <w:spacing w:after="120"/>
        <w:jc w:val="both"/>
      </w:pPr>
      <w:r>
        <w:rPr>
          <w:rFonts w:ascii="Arial" w:cs="Arial" w:eastAsia="Arial" w:hAnsi="Arial"/>
          <w:sz w:val="24"/>
          <w:szCs w:val="24"/>
        </w:rPr>
        <w:t xml:space="preserve">3) рестораны, кафе, столовые, магазины, закрытые в определенное время суток.</w:t>
      </w:r>
    </w:p>
    <w:p>
      <w:pPr>
        <w:spacing w:after="120"/>
        <w:jc w:val="both"/>
      </w:pPr>
      <w:r>
        <w:rPr>
          <w:rFonts w:ascii="Arial" w:cs="Arial" w:eastAsia="Arial" w:hAnsi="Arial"/>
          <w:sz w:val="24"/>
          <w:szCs w:val="24"/>
        </w:rPr>
        <w:t xml:space="preserve">Не подлежат учету как совершенные в общественных местах, в том числе на улицах:</w:t>
      </w:r>
    </w:p>
    <w:p>
      <w:pPr>
        <w:spacing w:after="120"/>
        <w:jc w:val="both"/>
      </w:pPr>
      <w:r>
        <w:rPr>
          <w:rFonts w:ascii="Arial" w:cs="Arial" w:eastAsia="Arial" w:hAnsi="Arial"/>
          <w:sz w:val="24"/>
          <w:szCs w:val="24"/>
        </w:rPr>
        <w:t xml:space="preserve">1) дорожно-транспортные происшествия;</w:t>
      </w:r>
    </w:p>
    <w:p>
      <w:pPr>
        <w:spacing w:after="120"/>
        <w:jc w:val="both"/>
      </w:pPr>
      <w:r>
        <w:rPr>
          <w:rFonts w:ascii="Arial" w:cs="Arial" w:eastAsia="Arial" w:hAnsi="Arial"/>
          <w:sz w:val="24"/>
          <w:szCs w:val="24"/>
        </w:rPr>
        <w:t xml:space="preserve">2) длящиеся преступления (незаконное ношение оружия, хранение наркотических средств и психотропных веществ или их аналогов).</w:t>
      </w:r>
    </w:p>
    <w:p>
      <w:pPr>
        <w:spacing w:after="120"/>
        <w:jc w:val="both"/>
      </w:pPr>
      <w:r>
        <w:rPr>
          <w:rFonts w:ascii="Arial" w:cs="Arial" w:eastAsia="Arial" w:hAnsi="Arial"/>
          <w:sz w:val="24"/>
          <w:szCs w:val="24"/>
        </w:rPr>
        <w:t xml:space="preserve">Из общего количества преступлений, совершенных в общественных местах, учитываются как уличные преступления, совершенные в тех местах, к которым имелся свободный доступ в любое время года, суток, где объективно была необходимость выставления патрульно-постовых нарядов (согласно плану комплексного использования сил и средств единой дислокации):</w:t>
      </w:r>
    </w:p>
    <w:p>
      <w:pPr>
        <w:spacing w:after="120"/>
        <w:jc w:val="both"/>
      </w:pPr>
      <w:r>
        <w:rPr>
          <w:rFonts w:ascii="Arial" w:cs="Arial" w:eastAsia="Arial" w:hAnsi="Arial"/>
          <w:sz w:val="24"/>
          <w:szCs w:val="24"/>
        </w:rPr>
        <w:t xml:space="preserve">1) на улицах, площадях, проспектах, бульварах, набережных, мостах, путепроводах, эстакадах и т.п. (включая остановки, в том числе на конечных пунктах транспорта);</w:t>
      </w:r>
    </w:p>
    <w:p>
      <w:pPr>
        <w:spacing w:after="120"/>
        <w:jc w:val="both"/>
      </w:pPr>
      <w:r>
        <w:rPr>
          <w:rFonts w:ascii="Arial" w:cs="Arial" w:eastAsia="Arial" w:hAnsi="Arial"/>
          <w:sz w:val="24"/>
          <w:szCs w:val="24"/>
        </w:rPr>
        <w:t xml:space="preserve">2) на специально оборудованных пляжах (за исключением ведомственных и закрывающихся на определенные сроки);</w:t>
      </w:r>
    </w:p>
    <w:p>
      <w:pPr>
        <w:spacing w:after="120"/>
        <w:jc w:val="both"/>
      </w:pPr>
      <w:r>
        <w:rPr>
          <w:rFonts w:ascii="Arial" w:cs="Arial" w:eastAsia="Arial" w:hAnsi="Arial"/>
          <w:sz w:val="24"/>
          <w:szCs w:val="24"/>
        </w:rPr>
        <w:t xml:space="preserve">3) на рынках, стадионах, танцплощадках в период их работы (за исключением крытых торговых и спортивных комплексов, залов, танцевальных веранд, закрывающихся на определенные сроки);</w:t>
      </w:r>
    </w:p>
    <w:p>
      <w:pPr>
        <w:spacing w:after="120"/>
        <w:jc w:val="both"/>
      </w:pPr>
      <w:r>
        <w:rPr>
          <w:rFonts w:ascii="Arial" w:cs="Arial" w:eastAsia="Arial" w:hAnsi="Arial"/>
          <w:sz w:val="24"/>
          <w:szCs w:val="24"/>
        </w:rPr>
        <w:t xml:space="preserve">4) в парках, скверах, переулках, тупиках, дворах (за исключением частных владений);</w:t>
      </w:r>
    </w:p>
    <w:p>
      <w:pPr>
        <w:spacing w:after="120"/>
        <w:jc w:val="both"/>
      </w:pPr>
      <w:r>
        <w:rPr>
          <w:rFonts w:ascii="Arial" w:cs="Arial" w:eastAsia="Arial" w:hAnsi="Arial"/>
          <w:sz w:val="24"/>
          <w:szCs w:val="24"/>
        </w:rPr>
        <w:t xml:space="preserve">5) в лесопарковых зонах, на берегах открытых водоемов, непосредственно на водоемах, а также в прилегающих к ним зонах отдыха и зеленых насаждений в черте городов и других населенных пунктов.</w:t>
      </w:r>
    </w:p>
    <w:p>
      <w:pPr>
        <w:spacing w:after="120"/>
        <w:jc w:val="both"/>
      </w:pPr>
      <w:r>
        <w:rPr>
          <w:rFonts w:ascii="Arial" w:cs="Arial" w:eastAsia="Arial" w:hAnsi="Arial"/>
          <w:sz w:val="24"/>
          <w:szCs w:val="24"/>
        </w:rPr>
        <w:t xml:space="preserve">Подлежат учету как совершенные в общественных местах, в том числе на улицах:</w:t>
      </w:r>
    </w:p>
    <w:p>
      <w:pPr>
        <w:spacing w:after="120"/>
        <w:jc w:val="both"/>
      </w:pPr>
      <w:r>
        <w:rPr>
          <w:rFonts w:ascii="Arial" w:cs="Arial" w:eastAsia="Arial" w:hAnsi="Arial"/>
          <w:sz w:val="24"/>
          <w:szCs w:val="24"/>
        </w:rPr>
        <w:t xml:space="preserve">1) кражи из киосков, ларьков, павильонов, транспортных средств и других аналогичных объектов, расположенных на улицах, если проникновение осуществлялось извне;</w:t>
      </w:r>
    </w:p>
    <w:p>
      <w:pPr>
        <w:spacing w:after="120"/>
        <w:jc w:val="both"/>
      </w:pPr>
      <w:r>
        <w:rPr>
          <w:rFonts w:ascii="Arial" w:cs="Arial" w:eastAsia="Arial" w:hAnsi="Arial"/>
          <w:sz w:val="24"/>
          <w:szCs w:val="24"/>
        </w:rPr>
        <w:t xml:space="preserve">2) незаконное приобретение или сбыт наркотических средств или психотропных веществ, или их аналогов в общественных местах и на улицах;</w:t>
      </w:r>
    </w:p>
    <w:p>
      <w:pPr>
        <w:spacing w:after="120"/>
        <w:jc w:val="both"/>
      </w:pPr>
      <w:r>
        <w:rPr>
          <w:rFonts w:ascii="Arial" w:cs="Arial" w:eastAsia="Arial" w:hAnsi="Arial"/>
          <w:sz w:val="24"/>
          <w:szCs w:val="24"/>
        </w:rPr>
        <w:t xml:space="preserve">- реквизит 21 учитывается место совершения преступления по справочнику № 1;</w:t>
      </w:r>
    </w:p>
    <w:p>
      <w:pPr>
        <w:spacing w:after="120"/>
        <w:jc w:val="both"/>
      </w:pPr>
      <w:r>
        <w:rPr>
          <w:rFonts w:ascii="Arial" w:cs="Arial" w:eastAsia="Arial" w:hAnsi="Arial"/>
          <w:sz w:val="24"/>
          <w:szCs w:val="24"/>
        </w:rPr>
        <w:t xml:space="preserve">- реквизит 22-23 обязателен к заполнению по делам экономической и коррупционной направленности;</w:t>
      </w:r>
    </w:p>
    <w:p>
      <w:pPr>
        <w:spacing w:after="120"/>
        <w:jc w:val="both"/>
      </w:pPr>
      <w:r>
        <w:rPr>
          <w:rFonts w:ascii="Arial" w:cs="Arial" w:eastAsia="Arial" w:hAnsi="Arial"/>
          <w:sz w:val="24"/>
          <w:szCs w:val="24"/>
        </w:rPr>
        <w:t xml:space="preserve">- реквизит 24 указываются сведения о предмете преступного посягательства или незаконного оборота (справочник № 2);</w:t>
      </w:r>
    </w:p>
    <w:p>
      <w:pPr>
        <w:spacing w:after="120"/>
        <w:jc w:val="both"/>
      </w:pPr>
      <w:r>
        <w:rPr>
          <w:rFonts w:ascii="Arial" w:cs="Arial" w:eastAsia="Arial" w:hAnsi="Arial"/>
          <w:sz w:val="24"/>
          <w:szCs w:val="24"/>
        </w:rPr>
        <w:t xml:space="preserve">- реквизит 25 указываются предметы, устройства и другие средства, которые умышленно использовались для совершения преступления. При заполнении данного реквизита учитывается разграничение понятий "использование" и "применение" оружия. Под применением оружия понимается непосредственное его использование по своему целевому назначению. Например, из огнестрельного или газового оружия был произведен выстрел на поражение какой-либо цели. Производство выстрела, в результате которого произошел промах или осечка, также следует считать применением оружия.</w:t>
      </w:r>
    </w:p>
    <w:p>
      <w:pPr>
        <w:spacing w:after="120"/>
        <w:jc w:val="both"/>
      </w:pPr>
      <w:r>
        <w:rPr>
          <w:rFonts w:ascii="Arial" w:cs="Arial" w:eastAsia="Arial" w:hAnsi="Arial"/>
          <w:sz w:val="24"/>
          <w:szCs w:val="24"/>
        </w:rPr>
        <w:t xml:space="preserve">Как имитирующие устройства учитываются воспроизведенные образцы (макеты) оружия, боеприпасов и взрывных устройств, которые имеют сходство с аналогичными изделиями промышленного производства, но не обладают соответствующим поражающим действием.</w:t>
      </w:r>
    </w:p>
    <w:p>
      <w:pPr>
        <w:spacing w:after="120"/>
        <w:jc w:val="both"/>
      </w:pPr>
      <w:r>
        <w:rPr>
          <w:rFonts w:ascii="Arial" w:cs="Arial" w:eastAsia="Arial" w:hAnsi="Arial"/>
          <w:sz w:val="24"/>
          <w:szCs w:val="24"/>
        </w:rPr>
        <w:t xml:space="preserve">Кодирование сведений осуществляется по справочнику № 12;</w:t>
      </w:r>
    </w:p>
    <w:p>
      <w:pPr>
        <w:spacing w:after="120"/>
        <w:jc w:val="both"/>
      </w:pPr>
      <w:r>
        <w:rPr>
          <w:rFonts w:ascii="Arial" w:cs="Arial" w:eastAsia="Arial" w:hAnsi="Arial"/>
          <w:sz w:val="24"/>
          <w:szCs w:val="24"/>
        </w:rPr>
        <w:t xml:space="preserve">- реквизит 27 отражается информация о числе погибших среди потерпевших;</w:t>
      </w:r>
    </w:p>
    <w:p>
      <w:pPr>
        <w:spacing w:after="120"/>
        <w:jc w:val="both"/>
      </w:pPr>
      <w:r>
        <w:rPr>
          <w:rFonts w:ascii="Arial" w:cs="Arial" w:eastAsia="Arial" w:hAnsi="Arial"/>
          <w:sz w:val="24"/>
          <w:szCs w:val="24"/>
        </w:rPr>
        <w:t xml:space="preserve">- реквизит 28 отражается информация о количестве потерпевших, получивших телесные повреждения.</w:t>
      </w:r>
    </w:p>
    <w:p>
      <w:pPr>
        <w:spacing w:after="120"/>
        <w:jc w:val="both"/>
      </w:pPr>
      <w:r>
        <w:rPr>
          <w:rFonts w:ascii="Arial" w:cs="Arial" w:eastAsia="Arial" w:hAnsi="Arial"/>
          <w:sz w:val="24"/>
          <w:szCs w:val="24"/>
        </w:rPr>
        <w:t xml:space="preserve">Глава 4. Заполнение и представление единой статистической карточки формы № 1.1</w:t>
      </w:r>
    </w:p>
    <w:p>
      <w:pPr>
        <w:spacing w:after="120"/>
        <w:jc w:val="both"/>
      </w:pPr>
      <w:r>
        <w:rPr>
          <w:rFonts w:ascii="Arial" w:cs="Arial" w:eastAsia="Arial" w:hAnsi="Arial"/>
          <w:sz w:val="24"/>
          <w:szCs w:val="24"/>
        </w:rPr>
        <w:t xml:space="preserve">98. Единая статистическая карточка формы № 1.1 отражает результаты расследования преступления и заполняется в случаях установления лица, совершившего преступление, когда:</w:t>
      </w:r>
    </w:p>
    <w:p>
      <w:pPr>
        <w:spacing w:after="120"/>
        <w:jc w:val="both"/>
      </w:pPr>
      <w:r>
        <w:rPr>
          <w:rFonts w:ascii="Arial" w:cs="Arial" w:eastAsia="Arial" w:hAnsi="Arial"/>
          <w:sz w:val="24"/>
          <w:szCs w:val="24"/>
        </w:rPr>
        <w:t xml:space="preserve">- уголовное дело окончено и оно с утвержденным обвинительным заключением направлено в суд в порядке статей 239 и 409 УПК Кыргызской Республики;</w:t>
      </w:r>
    </w:p>
    <w:p>
      <w:pPr>
        <w:spacing w:after="120"/>
        <w:jc w:val="both"/>
      </w:pPr>
      <w:r>
        <w:rPr>
          <w:rFonts w:ascii="Arial" w:cs="Arial" w:eastAsia="Arial" w:hAnsi="Arial"/>
          <w:sz w:val="24"/>
          <w:szCs w:val="24"/>
        </w:rPr>
        <w:t xml:space="preserve">- протокол ускоренного досудебного производства утвержден прокурором и дело направлено в суд в порядке статей 416-3 и 416-4 </w:t>
      </w:r>
      <w:hyperlink w:history="1" r:id="rId46muhmi1tp0mke69wbkf7">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вынесено постановление об отказе в возбуждении уголовного дела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уголовное дело прекращено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уголовное дело прекращено по реабилитирующим основаниям, указанным в пункте 4 настоящего Положения.</w:t>
      </w:r>
    </w:p>
    <w:p>
      <w:pPr>
        <w:spacing w:after="120"/>
        <w:jc w:val="both"/>
      </w:pPr>
      <w:r>
        <w:rPr>
          <w:rFonts w:ascii="Arial" w:cs="Arial" w:eastAsia="Arial" w:hAnsi="Arial"/>
          <w:sz w:val="24"/>
          <w:szCs w:val="24"/>
        </w:rPr>
        <w:t xml:space="preserve">99. Единая статистическая карточка формы № 1.1 учитывается подразделениями правовой статистики и учетов органов прокуратуры только при наличии заверенной печатью подписи соответствующего прокурора.</w:t>
      </w:r>
    </w:p>
    <w:p>
      <w:pPr>
        <w:spacing w:after="120"/>
        <w:jc w:val="both"/>
      </w:pPr>
      <w:r>
        <w:rPr>
          <w:rFonts w:ascii="Arial" w:cs="Arial" w:eastAsia="Arial" w:hAnsi="Arial"/>
          <w:sz w:val="24"/>
          <w:szCs w:val="24"/>
        </w:rPr>
        <w:t xml:space="preserve">100. При заполнении единой статистической карточки формы № 1.1 должны выполняться следующие требования:</w:t>
      </w:r>
    </w:p>
    <w:p>
      <w:pPr>
        <w:spacing w:after="120"/>
        <w:jc w:val="both"/>
      </w:pPr>
      <w:r>
        <w:rPr>
          <w:rFonts w:ascii="Arial" w:cs="Arial" w:eastAsia="Arial" w:hAnsi="Arial"/>
          <w:sz w:val="24"/>
          <w:szCs w:val="24"/>
        </w:rPr>
        <w:t xml:space="preserve">- обязательное заполнение реквизитов: 1-7 и 14;</w:t>
      </w:r>
    </w:p>
    <w:p>
      <w:pPr>
        <w:spacing w:after="120"/>
        <w:jc w:val="both"/>
      </w:pPr>
      <w:r>
        <w:rPr>
          <w:rFonts w:ascii="Arial" w:cs="Arial" w:eastAsia="Arial" w:hAnsi="Arial"/>
          <w:sz w:val="24"/>
          <w:szCs w:val="24"/>
        </w:rPr>
        <w:t xml:space="preserve">- реквизит 9 содержит сведения, характеризующие совершение преступления группой лиц, группой лиц по предварительному сговору, организованной группой, преступным сообществом (преступной организацией);</w:t>
      </w:r>
    </w:p>
    <w:p>
      <w:pPr>
        <w:spacing w:after="120"/>
        <w:jc w:val="both"/>
      </w:pPr>
      <w:r>
        <w:rPr>
          <w:rFonts w:ascii="Arial" w:cs="Arial" w:eastAsia="Arial" w:hAnsi="Arial"/>
          <w:sz w:val="24"/>
          <w:szCs w:val="24"/>
        </w:rPr>
        <w:t xml:space="preserve">- реквизит 12 содержит сведения, характеризующее лицо, совершившее преступление;</w:t>
      </w:r>
    </w:p>
    <w:p>
      <w:pPr>
        <w:spacing w:after="120"/>
        <w:jc w:val="both"/>
      </w:pPr>
      <w:r>
        <w:rPr>
          <w:rFonts w:ascii="Arial" w:cs="Arial" w:eastAsia="Arial" w:hAnsi="Arial"/>
          <w:sz w:val="24"/>
          <w:szCs w:val="24"/>
        </w:rPr>
        <w:t xml:space="preserve">- реквизит 14 решение, принятое по уголовному делу либо материалу доследственной проверки, по которому принято решение об отказе в возбуждении уголовного дела по нереабилитирующим основаниям (справочник № 17).</w:t>
      </w:r>
    </w:p>
    <w:p>
      <w:pPr>
        <w:spacing w:after="120"/>
        <w:jc w:val="both"/>
      </w:pPr>
      <w:r>
        <w:rPr>
          <w:rFonts w:ascii="Arial" w:cs="Arial" w:eastAsia="Arial" w:hAnsi="Arial"/>
          <w:sz w:val="24"/>
          <w:szCs w:val="24"/>
        </w:rPr>
        <w:t xml:space="preserve">В случае возобновления производства по уголовному делу, ранее приостановленному по пунктам 1, 2, 3 и 4 части 1 статьи 221 </w:t>
      </w:r>
      <w:hyperlink w:history="1" r:id="rId990xk_1xbsj4tj9abgjb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преступление может быть исключено из числа нераскрытых преступлений, если в течение отчетного года уголовное дело по этому преступлению будет окончено расследованием (направлено в суд либо прекращено);</w:t>
      </w:r>
    </w:p>
    <w:p>
      <w:pPr>
        <w:spacing w:after="120"/>
        <w:jc w:val="both"/>
      </w:pPr>
      <w:r>
        <w:rPr>
          <w:rFonts w:ascii="Arial" w:cs="Arial" w:eastAsia="Arial" w:hAnsi="Arial"/>
          <w:sz w:val="24"/>
          <w:szCs w:val="24"/>
        </w:rPr>
        <w:t xml:space="preserve">- реквизит 17 характеризует мотив (цель) преступления или конкретизирует различные действия, если они перечислены в диспозиции статьи </w:t>
      </w:r>
      <w:hyperlink w:history="1" r:id="rIdjblrfscvmomcn1tgzitg9">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по которой квалифицировано данное преступление.</w:t>
      </w:r>
    </w:p>
    <w:p>
      <w:pPr>
        <w:spacing w:after="120"/>
        <w:jc w:val="both"/>
      </w:pPr>
      <w:r>
        <w:rPr>
          <w:rFonts w:ascii="Arial" w:cs="Arial" w:eastAsia="Arial" w:hAnsi="Arial"/>
          <w:sz w:val="24"/>
          <w:szCs w:val="24"/>
        </w:rPr>
        <w:t xml:space="preserve">Как "бытовое преступление" учитывается преступление, совершенное по мотивам, возникающим вследствие семейных отношений или отношений, связанных с совместным проживанием либо совместным ведением хозяйства. При этом совместное проживание может не сопровождаться семейными отношениями и совместным ведением хозяйства (отношения, возникающие между соседями по квартире, подъезду, дому и тому подобное). К данной категории также относятся преступления, совершенные на почве конфликтов, возникающих по коммунальным вопросам, связанным с эксплуатацией помещений, прилегающей территории, соблюдением установленных правил поведения, социального общежития. Мотивом бытовой преступности не должны быть корыстные побуждения, она возникает чаще всего на почве личных неприязненных отношений.</w:t>
      </w:r>
    </w:p>
    <w:p>
      <w:pPr>
        <w:spacing w:after="120"/>
        <w:jc w:val="both"/>
      </w:pPr>
      <w:r>
        <w:rPr>
          <w:rFonts w:ascii="Arial" w:cs="Arial" w:eastAsia="Arial" w:hAnsi="Arial"/>
          <w:sz w:val="24"/>
          <w:szCs w:val="24"/>
        </w:rPr>
        <w:t xml:space="preserve">101. Единые статистические карточки формы № 1.1 в случаях, указанных в пункте 95 настоящего Положения, за исключением прекращения уголовного дела по реабилитирующим основаниям, представляются в учетно-регистрационные подразделения правоохранительных органов одновременно с едиными статистическими карточками формы № 2.0 и алфавитными карточками, по форме согласно приложению 4 к настоящему Положению.</w:t>
      </w:r>
    </w:p>
    <w:p>
      <w:pPr>
        <w:spacing w:after="120"/>
        <w:jc w:val="both"/>
      </w:pPr>
      <w:r>
        <w:rPr>
          <w:rFonts w:ascii="Arial" w:cs="Arial" w:eastAsia="Arial" w:hAnsi="Arial"/>
          <w:sz w:val="24"/>
          <w:szCs w:val="24"/>
        </w:rPr>
        <w:t xml:space="preserve">Глава 5. Заполнение и представление единой статистической карточки формы № 2.0</w:t>
      </w:r>
    </w:p>
    <w:p>
      <w:pPr>
        <w:spacing w:after="120"/>
        <w:jc w:val="both"/>
      </w:pPr>
      <w:r>
        <w:rPr>
          <w:rFonts w:ascii="Arial" w:cs="Arial" w:eastAsia="Arial" w:hAnsi="Arial"/>
          <w:sz w:val="24"/>
          <w:szCs w:val="24"/>
        </w:rPr>
        <w:t xml:space="preserve">102. Единая статистическая карточка формы № 2.0 является основанием для постановки на учет лиц, совершивших преступления. В случае совершения лицом нескольких преступлений на него составляется одна карточка с указанием всех статей </w:t>
      </w:r>
      <w:hyperlink w:history="1" r:id="rIddklltgnkdtvtq5rd67zg2">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Кыргызской Республики, по которым предъявлено обвинение.</w:t>
      </w:r>
    </w:p>
    <w:p>
      <w:pPr>
        <w:spacing w:after="120"/>
        <w:jc w:val="both"/>
      </w:pPr>
      <w:r>
        <w:rPr>
          <w:rFonts w:ascii="Arial" w:cs="Arial" w:eastAsia="Arial" w:hAnsi="Arial"/>
          <w:sz w:val="24"/>
          <w:szCs w:val="24"/>
        </w:rPr>
        <w:t xml:space="preserve">103. Единая статистическая карточка формы № 2.0 выставляется в случаях, когда:</w:t>
      </w:r>
    </w:p>
    <w:p>
      <w:pPr>
        <w:spacing w:after="120"/>
        <w:jc w:val="both"/>
      </w:pPr>
      <w:r>
        <w:rPr>
          <w:rFonts w:ascii="Arial" w:cs="Arial" w:eastAsia="Arial" w:hAnsi="Arial"/>
          <w:sz w:val="24"/>
          <w:szCs w:val="24"/>
        </w:rPr>
        <w:t xml:space="preserve">- уголовное дело окончено, и оно с утвержденным обвинительным заключением направлено в суд в порядке статей 239 и 409 УПК Кыргызской Республики;</w:t>
      </w:r>
    </w:p>
    <w:p>
      <w:pPr>
        <w:spacing w:after="120"/>
        <w:jc w:val="both"/>
      </w:pPr>
      <w:r>
        <w:rPr>
          <w:rFonts w:ascii="Arial" w:cs="Arial" w:eastAsia="Arial" w:hAnsi="Arial"/>
          <w:sz w:val="24"/>
          <w:szCs w:val="24"/>
        </w:rPr>
        <w:t xml:space="preserve">- протокол ускоренного досудебного производства утвержден прокурором и дело направлено в суд в порядке статей 416-3 и 416-4 УПК Кыргызской Республики;</w:t>
      </w:r>
    </w:p>
    <w:p>
      <w:pPr>
        <w:spacing w:after="120"/>
        <w:jc w:val="both"/>
      </w:pPr>
      <w:r>
        <w:rPr>
          <w:rFonts w:ascii="Arial" w:cs="Arial" w:eastAsia="Arial" w:hAnsi="Arial"/>
          <w:sz w:val="24"/>
          <w:szCs w:val="24"/>
        </w:rPr>
        <w:t xml:space="preserve">- вынесено постановление об отказе в возбуждении уголовного дела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уголовное дело прекращено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104. При заполнении статистической карточки формы № 2.0 должны выполняться следующие требования:</w:t>
      </w:r>
    </w:p>
    <w:p>
      <w:pPr>
        <w:spacing w:after="120"/>
        <w:jc w:val="both"/>
      </w:pPr>
      <w:r>
        <w:rPr>
          <w:rFonts w:ascii="Arial" w:cs="Arial" w:eastAsia="Arial" w:hAnsi="Arial"/>
          <w:sz w:val="24"/>
          <w:szCs w:val="24"/>
        </w:rPr>
        <w:t xml:space="preserve">- обязательно заполнение реквизитов 1-14, 15.1, 16, 18, 32 и 34;</w:t>
      </w:r>
    </w:p>
    <w:p>
      <w:pPr>
        <w:spacing w:after="120"/>
        <w:jc w:val="both"/>
      </w:pPr>
      <w:r>
        <w:rPr>
          <w:rFonts w:ascii="Arial" w:cs="Arial" w:eastAsia="Arial" w:hAnsi="Arial"/>
          <w:sz w:val="24"/>
          <w:szCs w:val="24"/>
        </w:rPr>
        <w:t xml:space="preserve">- в реквизите 12 дата рождения указывается полностью, включая день, месяц и год;</w:t>
      </w:r>
    </w:p>
    <w:p>
      <w:pPr>
        <w:spacing w:after="120"/>
        <w:jc w:val="both"/>
      </w:pPr>
      <w:r>
        <w:rPr>
          <w:rFonts w:ascii="Arial" w:cs="Arial" w:eastAsia="Arial" w:hAnsi="Arial"/>
          <w:sz w:val="24"/>
          <w:szCs w:val="24"/>
        </w:rPr>
        <w:t xml:space="preserve">- реквизит 14 отражает сведения об образовании лица на момент совершения им преступления;</w:t>
      </w:r>
    </w:p>
    <w:p>
      <w:pPr>
        <w:spacing w:after="120"/>
        <w:jc w:val="both"/>
      </w:pPr>
      <w:r>
        <w:rPr>
          <w:rFonts w:ascii="Arial" w:cs="Arial" w:eastAsia="Arial" w:hAnsi="Arial"/>
          <w:sz w:val="24"/>
          <w:szCs w:val="24"/>
        </w:rPr>
        <w:t xml:space="preserve">- в реквизите 15 местом жительства указывается то место, где гражданин постоянно или преимущественно проживает.</w:t>
      </w:r>
    </w:p>
    <w:p>
      <w:pPr>
        <w:spacing w:after="120"/>
        <w:jc w:val="both"/>
      </w:pPr>
      <w:r>
        <w:rPr>
          <w:rFonts w:ascii="Arial" w:cs="Arial" w:eastAsia="Arial" w:hAnsi="Arial"/>
          <w:sz w:val="24"/>
          <w:szCs w:val="24"/>
        </w:rPr>
        <w:t xml:space="preserve">Местом жительства несовершеннолетних, не достигших 14 лет, или граждан, находящихся под опекой, признается место жительства их представителей - родителей, усыновителей или опекунов.</w:t>
      </w:r>
    </w:p>
    <w:p>
      <w:pPr>
        <w:spacing w:after="120"/>
        <w:jc w:val="both"/>
      </w:pPr>
      <w:r>
        <w:rPr>
          <w:rFonts w:ascii="Arial" w:cs="Arial" w:eastAsia="Arial" w:hAnsi="Arial"/>
          <w:sz w:val="24"/>
          <w:szCs w:val="24"/>
        </w:rPr>
        <w:t xml:space="preserve">В числе лиц без определенного места жительства не учитываются лица, имеющие регистрацию по месту пребывания;</w:t>
      </w:r>
    </w:p>
    <w:p>
      <w:pPr>
        <w:spacing w:after="120"/>
        <w:jc w:val="both"/>
      </w:pPr>
      <w:r>
        <w:rPr>
          <w:rFonts w:ascii="Arial" w:cs="Arial" w:eastAsia="Arial" w:hAnsi="Arial"/>
          <w:sz w:val="24"/>
          <w:szCs w:val="24"/>
        </w:rPr>
        <w:t xml:space="preserve">- реквизит 16 содержит сведения о социальном и должностном положении лица (заполняется по справочникам №№ 7 и 8);</w:t>
      </w:r>
    </w:p>
    <w:p>
      <w:pPr>
        <w:spacing w:after="120"/>
        <w:jc w:val="both"/>
      </w:pPr>
      <w:r>
        <w:rPr>
          <w:rFonts w:ascii="Arial" w:cs="Arial" w:eastAsia="Arial" w:hAnsi="Arial"/>
          <w:sz w:val="24"/>
          <w:szCs w:val="24"/>
        </w:rPr>
        <w:t xml:space="preserve">- в реквизите 17 отражаются сведения о месте работы или учебы лица, совершившего преступление;</w:t>
      </w:r>
    </w:p>
    <w:p>
      <w:pPr>
        <w:spacing w:after="120"/>
        <w:jc w:val="both"/>
      </w:pPr>
      <w:r>
        <w:rPr>
          <w:rFonts w:ascii="Arial" w:cs="Arial" w:eastAsia="Arial" w:hAnsi="Arial"/>
          <w:sz w:val="24"/>
          <w:szCs w:val="24"/>
        </w:rPr>
        <w:t xml:space="preserve">- в реквизитах 18-21 отражаются квалификации всех совершенных лицом преступлений, объединенных в одном уголовном деле;</w:t>
      </w:r>
    </w:p>
    <w:p>
      <w:pPr>
        <w:spacing w:after="120"/>
        <w:jc w:val="both"/>
      </w:pPr>
      <w:r>
        <w:rPr>
          <w:rFonts w:ascii="Arial" w:cs="Arial" w:eastAsia="Arial" w:hAnsi="Arial"/>
          <w:sz w:val="24"/>
          <w:szCs w:val="24"/>
        </w:rPr>
        <w:t xml:space="preserve">- реквизит 24 заполняется аналогично реквизиту 18 единой статистической карточки формы № 1.0;</w:t>
      </w:r>
    </w:p>
    <w:p>
      <w:pPr>
        <w:spacing w:after="120"/>
        <w:jc w:val="both"/>
      </w:pPr>
      <w:r>
        <w:rPr>
          <w:rFonts w:ascii="Arial" w:cs="Arial" w:eastAsia="Arial" w:hAnsi="Arial"/>
          <w:sz w:val="24"/>
          <w:szCs w:val="24"/>
        </w:rPr>
        <w:t xml:space="preserve">- реквизит 27 заполняется аналогично реквизиту 9 единой статистической карточки формы № 1.1.</w:t>
      </w:r>
    </w:p>
    <w:p>
      <w:pPr>
        <w:spacing w:after="120"/>
        <w:jc w:val="both"/>
      </w:pPr>
      <w:r>
        <w:rPr>
          <w:rFonts w:ascii="Arial" w:cs="Arial" w:eastAsia="Arial" w:hAnsi="Arial"/>
          <w:sz w:val="24"/>
          <w:szCs w:val="24"/>
        </w:rPr>
        <w:t xml:space="preserve">Глава 6. Заполнение алфавитной карточки на лицо, совершившее преступление</w:t>
      </w:r>
    </w:p>
    <w:p>
      <w:pPr>
        <w:spacing w:after="120"/>
        <w:jc w:val="both"/>
      </w:pPr>
      <w:r>
        <w:rPr>
          <w:rFonts w:ascii="Arial" w:cs="Arial" w:eastAsia="Arial" w:hAnsi="Arial"/>
          <w:sz w:val="24"/>
          <w:szCs w:val="24"/>
        </w:rPr>
        <w:t xml:space="preserve">105. Алфавитная карточка является основанием для постановки на учет лиц, совершивших преступления. Данная карточка заполняется на лиц, в отношении которых приняты следующие процессуальные решения:</w:t>
      </w:r>
    </w:p>
    <w:p>
      <w:pPr>
        <w:spacing w:after="120"/>
        <w:jc w:val="both"/>
      </w:pPr>
      <w:r>
        <w:rPr>
          <w:rFonts w:ascii="Arial" w:cs="Arial" w:eastAsia="Arial" w:hAnsi="Arial"/>
          <w:sz w:val="24"/>
          <w:szCs w:val="24"/>
        </w:rPr>
        <w:t xml:space="preserve">- уголовное дело окончено и оно с утвержденным обвинительным заключением направлено в суд в порядке статей 239 и 409 УПК Кыргызской Республики;</w:t>
      </w:r>
    </w:p>
    <w:p>
      <w:pPr>
        <w:spacing w:after="120"/>
        <w:jc w:val="both"/>
      </w:pPr>
      <w:r>
        <w:rPr>
          <w:rFonts w:ascii="Arial" w:cs="Arial" w:eastAsia="Arial" w:hAnsi="Arial"/>
          <w:sz w:val="24"/>
          <w:szCs w:val="24"/>
        </w:rPr>
        <w:t xml:space="preserve">- протокол ускоренного досудебного производства утвержден прокурором и дело направлено в суд в порядке статей 416-3 и 416-4 УПК Кыргызской Республики;</w:t>
      </w:r>
    </w:p>
    <w:p>
      <w:pPr>
        <w:spacing w:after="120"/>
        <w:jc w:val="both"/>
      </w:pPr>
      <w:r>
        <w:rPr>
          <w:rFonts w:ascii="Arial" w:cs="Arial" w:eastAsia="Arial" w:hAnsi="Arial"/>
          <w:sz w:val="24"/>
          <w:szCs w:val="24"/>
        </w:rPr>
        <w:t xml:space="preserve">- вынесено постановление об отказе в возбуждении уголовного дела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уголовное дело прекращено по нереабилитирующим основаниям, указанным в пункте 3 настоящего Положения;</w:t>
      </w:r>
    </w:p>
    <w:p>
      <w:pPr>
        <w:spacing w:after="120"/>
        <w:jc w:val="both"/>
      </w:pPr>
      <w:r>
        <w:rPr>
          <w:rFonts w:ascii="Arial" w:cs="Arial" w:eastAsia="Arial" w:hAnsi="Arial"/>
          <w:sz w:val="24"/>
          <w:szCs w:val="24"/>
        </w:rPr>
        <w:t xml:space="preserve">- вынесен обвинительный приговор или постановление о прекращении дела по нереабилитирующим основаниям по делу частного обвинения.</w:t>
      </w:r>
    </w:p>
    <w:p>
      <w:pPr>
        <w:spacing w:after="120"/>
        <w:jc w:val="both"/>
      </w:pPr>
      <w:r>
        <w:rPr>
          <w:rFonts w:ascii="Arial" w:cs="Arial" w:eastAsia="Arial" w:hAnsi="Arial"/>
          <w:sz w:val="24"/>
          <w:szCs w:val="24"/>
        </w:rPr>
        <w:t xml:space="preserve">106. При заполнении алфавитной карточки должны выполняться следующие требования:</w:t>
      </w:r>
    </w:p>
    <w:p>
      <w:pPr>
        <w:spacing w:after="120"/>
        <w:jc w:val="both"/>
      </w:pPr>
      <w:r>
        <w:rPr>
          <w:rFonts w:ascii="Arial" w:cs="Arial" w:eastAsia="Arial" w:hAnsi="Arial"/>
          <w:sz w:val="24"/>
          <w:szCs w:val="24"/>
        </w:rPr>
        <w:t xml:space="preserve">- алфавитная карточка должна заполняться на пишущей машинке или темными чернилами - печатными буквами;</w:t>
      </w:r>
    </w:p>
    <w:p>
      <w:pPr>
        <w:spacing w:after="120"/>
        <w:jc w:val="both"/>
      </w:pPr>
      <w:r>
        <w:rPr>
          <w:rFonts w:ascii="Arial" w:cs="Arial" w:eastAsia="Arial" w:hAnsi="Arial"/>
          <w:sz w:val="24"/>
          <w:szCs w:val="24"/>
        </w:rPr>
        <w:t xml:space="preserve">- обязательно заполнение реквизитов с 1 по 14;</w:t>
      </w:r>
    </w:p>
    <w:p>
      <w:pPr>
        <w:spacing w:after="120"/>
        <w:jc w:val="both"/>
      </w:pPr>
      <w:r>
        <w:rPr>
          <w:rFonts w:ascii="Arial" w:cs="Arial" w:eastAsia="Arial" w:hAnsi="Arial"/>
          <w:sz w:val="24"/>
          <w:szCs w:val="24"/>
        </w:rPr>
        <w:t xml:space="preserve">- в реквизите 6 местом жительства (адрес) учитывается то место, где гражданин постоянно или преимущественно проживает. Местом жительства несовершеннолетних, не достигших 14 лет, или граждан, находящихся под опекой, признается место жительства их представителей - родителей, усыновителей или опекунов.</w:t>
      </w:r>
    </w:p>
    <w:p>
      <w:pPr>
        <w:spacing w:after="120"/>
        <w:jc w:val="both"/>
      </w:pPr>
      <w:r>
        <w:rPr>
          <w:rFonts w:ascii="Arial" w:cs="Arial" w:eastAsia="Arial" w:hAnsi="Arial"/>
          <w:sz w:val="24"/>
          <w:szCs w:val="24"/>
        </w:rPr>
        <w:t xml:space="preserve">В числе лиц без определенного места жительства не учитываются лица, имеющие регистрацию по месту пребывания;</w:t>
      </w:r>
    </w:p>
    <w:p>
      <w:pPr>
        <w:spacing w:after="120"/>
        <w:jc w:val="both"/>
      </w:pPr>
      <w:r>
        <w:rPr>
          <w:rFonts w:ascii="Arial" w:cs="Arial" w:eastAsia="Arial" w:hAnsi="Arial"/>
          <w:sz w:val="24"/>
          <w:szCs w:val="24"/>
        </w:rPr>
        <w:t xml:space="preserve">- в реквизитах 7 и 8 отражаются сведения о профессии, месте работы или учебы лица, совершившего преступление.</w:t>
      </w:r>
    </w:p>
    <w:p>
      <w:pPr>
        <w:spacing w:after="120"/>
        <w:jc w:val="both"/>
      </w:pPr>
      <w:r>
        <w:rPr>
          <w:rFonts w:ascii="Arial" w:cs="Arial" w:eastAsia="Arial" w:hAnsi="Arial"/>
          <w:sz w:val="24"/>
          <w:szCs w:val="24"/>
        </w:rPr>
        <w:t xml:space="preserve">107. Алфавитные карточки поступают в подразделения правовой статистики и учетов вместе со статистическими карточками форм №№ 1.1 и 2.0. После обработки алфавитные карточки передаются в алфавитно-справочную картотеку.</w:t>
      </w:r>
    </w:p>
    <w:p>
      <w:pPr>
        <w:spacing w:after="120"/>
        <w:jc w:val="both"/>
      </w:pPr>
      <w:r>
        <w:rPr>
          <w:rFonts w:ascii="Arial" w:cs="Arial" w:eastAsia="Arial" w:hAnsi="Arial"/>
          <w:sz w:val="24"/>
          <w:szCs w:val="24"/>
        </w:rPr>
        <w:t xml:space="preserve">Глава 7. Заполнение и представление единой статистической карточки формы № 3</w:t>
      </w:r>
    </w:p>
    <w:p>
      <w:pPr>
        <w:spacing w:after="120"/>
        <w:jc w:val="both"/>
      </w:pPr>
      <w:r>
        <w:rPr>
          <w:rFonts w:ascii="Arial" w:cs="Arial" w:eastAsia="Arial" w:hAnsi="Arial"/>
          <w:sz w:val="24"/>
          <w:szCs w:val="24"/>
        </w:rPr>
        <w:t xml:space="preserve">108. Единая статистическая карточка формы № 3 представляется только по уголовному делу.</w:t>
      </w:r>
    </w:p>
    <w:p>
      <w:pPr>
        <w:spacing w:after="120"/>
        <w:jc w:val="both"/>
      </w:pPr>
      <w:r>
        <w:rPr>
          <w:rFonts w:ascii="Arial" w:cs="Arial" w:eastAsia="Arial" w:hAnsi="Arial"/>
          <w:sz w:val="24"/>
          <w:szCs w:val="24"/>
        </w:rPr>
        <w:t xml:space="preserve">Единая статистическая карточка формы № 3 составляется прокурором, следователем, в производстве которого находится уголовное дело, и представляется каждый раз при принятии одного решений, указанных в пункте 52 настоящего Положения.</w:t>
      </w:r>
    </w:p>
    <w:p>
      <w:pPr>
        <w:spacing w:after="120"/>
        <w:jc w:val="both"/>
      </w:pPr>
      <w:r>
        <w:rPr>
          <w:rFonts w:ascii="Arial" w:cs="Arial" w:eastAsia="Arial" w:hAnsi="Arial"/>
          <w:sz w:val="24"/>
          <w:szCs w:val="24"/>
        </w:rPr>
        <w:t xml:space="preserve">Если уголовные дела объединяются в одно дело в связи с тем, что преступления совершены одним и тем же лицом, то в основных карточках формы № 1.0 и в Контрольном журнале делаются соответствующие отметки об объединении этих дел, но изменения в отчетность о количестве зарегистрированных преступлений не вносятся.</w:t>
      </w:r>
    </w:p>
    <w:p>
      <w:pPr>
        <w:spacing w:after="120"/>
        <w:jc w:val="both"/>
      </w:pPr>
      <w:r>
        <w:rPr>
          <w:rFonts w:ascii="Arial" w:cs="Arial" w:eastAsia="Arial" w:hAnsi="Arial"/>
          <w:sz w:val="24"/>
          <w:szCs w:val="24"/>
        </w:rPr>
        <w:t xml:space="preserve">Уголовные дела, возобновленные, в том числе путем отмены решения прокурором, для производства дополнительного расследования, повторно не регистрируются.</w:t>
      </w:r>
    </w:p>
    <w:p>
      <w:pPr>
        <w:spacing w:after="120"/>
        <w:jc w:val="both"/>
      </w:pPr>
      <w:r>
        <w:rPr>
          <w:rFonts w:ascii="Arial" w:cs="Arial" w:eastAsia="Arial" w:hAnsi="Arial"/>
          <w:sz w:val="24"/>
          <w:szCs w:val="24"/>
        </w:rPr>
        <w:t xml:space="preserve">109. При заполнении единой статистической карточки формы № 3 должны выполняться следующие требования:</w:t>
      </w:r>
    </w:p>
    <w:p>
      <w:pPr>
        <w:spacing w:after="120"/>
        <w:jc w:val="both"/>
      </w:pPr>
      <w:r>
        <w:rPr>
          <w:rFonts w:ascii="Arial" w:cs="Arial" w:eastAsia="Arial" w:hAnsi="Arial"/>
          <w:sz w:val="24"/>
          <w:szCs w:val="24"/>
        </w:rPr>
        <w:t xml:space="preserve">- в случае направления уголовного дела по подследственности или территориальности обязательно указывается орган, куда направлено дело для проведения расследования, и исходящий номер сопроводительного письма (порядок и правила передачи уголовных дел определены пунктом 55 настоящего Положения);</w:t>
      </w:r>
    </w:p>
    <w:p>
      <w:pPr>
        <w:spacing w:after="120"/>
        <w:jc w:val="both"/>
      </w:pPr>
      <w:r>
        <w:rPr>
          <w:rFonts w:ascii="Arial" w:cs="Arial" w:eastAsia="Arial" w:hAnsi="Arial"/>
          <w:sz w:val="24"/>
          <w:szCs w:val="24"/>
        </w:rPr>
        <w:t xml:space="preserve">- в случае приостановления уголовного дела по пункту 1 части 1 статьи 221 УПК Кыргызской Республики должен быть проставлен номер розыскного дела, а также установочные данные разыскиваемого;</w:t>
      </w:r>
    </w:p>
    <w:p>
      <w:pPr>
        <w:spacing w:after="120"/>
        <w:jc w:val="both"/>
      </w:pPr>
      <w:r>
        <w:rPr>
          <w:rFonts w:ascii="Arial" w:cs="Arial" w:eastAsia="Arial" w:hAnsi="Arial"/>
          <w:sz w:val="24"/>
          <w:szCs w:val="24"/>
        </w:rPr>
        <w:t xml:space="preserve">- в случае приостановления уголовного дела по пункту 2 части 1 статьи 221 </w:t>
      </w:r>
      <w:hyperlink w:history="1" r:id="rIdmhlaypbulf7lm6gj11zu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должны быть указаны установочные данные заболевшего;</w:t>
      </w:r>
    </w:p>
    <w:p>
      <w:pPr>
        <w:spacing w:after="120"/>
        <w:jc w:val="both"/>
      </w:pPr>
      <w:r>
        <w:rPr>
          <w:rFonts w:ascii="Arial" w:cs="Arial" w:eastAsia="Arial" w:hAnsi="Arial"/>
          <w:sz w:val="24"/>
          <w:szCs w:val="24"/>
        </w:rPr>
        <w:t xml:space="preserve">- в случае возобновления в соответствии со статьей 228 </w:t>
      </w:r>
      <w:hyperlink w:history="1" r:id="rId4guolfvgvbb4fwzf_tpc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производство по ранее прекращенному уголовному делу одновременно со статистической карточкой формы № 3 составляется и представляется единая статистическая карточка формы № 1.0 для постановки преступления на учет (если ранее это преступление было снято с учета);</w:t>
      </w:r>
    </w:p>
    <w:p>
      <w:pPr>
        <w:spacing w:after="120"/>
        <w:jc w:val="both"/>
      </w:pPr>
      <w:r>
        <w:rPr>
          <w:rFonts w:ascii="Arial" w:cs="Arial" w:eastAsia="Arial" w:hAnsi="Arial"/>
          <w:sz w:val="24"/>
          <w:szCs w:val="24"/>
        </w:rPr>
        <w:t xml:space="preserve">- в случае принятия к производству уголовного дела после возвращения его для восполнения пробелов следствия прокурором, если оно направлялось в суд в текущем отчетном году и учтено как оконченное, оно должно быть исключено из числа оконченных до момента повторного окончания дела. При возвращении уголовного дела по вышеуказанным причинам следователем, принявшим дело к своему производству, выставляется единая статистическая карточка формы № 3.</w:t>
      </w:r>
    </w:p>
    <w:p>
      <w:pPr>
        <w:spacing w:after="120"/>
        <w:jc w:val="both"/>
      </w:pPr>
      <w:r>
        <w:rPr>
          <w:rFonts w:ascii="Arial" w:cs="Arial" w:eastAsia="Arial" w:hAnsi="Arial"/>
          <w:sz w:val="24"/>
          <w:szCs w:val="24"/>
        </w:rPr>
        <w:t xml:space="preserve">110. Учет нераскрытых преступлений осуществляется путем заполнения единых статистических карточек формы № 1.0 и формы № 3. Карточка формы № 3 может быть как основной, так и дополнительной, в зависимости от того, на какое учтенное по форме № 1.0 преступление она заполняется.</w:t>
      </w:r>
    </w:p>
    <w:p>
      <w:pPr>
        <w:spacing w:after="120"/>
        <w:jc w:val="both"/>
      </w:pPr>
      <w:r>
        <w:rPr>
          <w:rFonts w:ascii="Arial" w:cs="Arial" w:eastAsia="Arial" w:hAnsi="Arial"/>
          <w:sz w:val="24"/>
          <w:szCs w:val="24"/>
        </w:rPr>
        <w:t xml:space="preserve">Глава 8. Заполнение и представление единой статистической карточки формы № 1.П</w:t>
      </w:r>
    </w:p>
    <w:p>
      <w:pPr>
        <w:spacing w:after="120"/>
        <w:jc w:val="both"/>
      </w:pPr>
      <w:r>
        <w:rPr>
          <w:rFonts w:ascii="Arial" w:cs="Arial" w:eastAsia="Arial" w:hAnsi="Arial"/>
          <w:sz w:val="24"/>
          <w:szCs w:val="24"/>
        </w:rPr>
        <w:t xml:space="preserve">111. В единой статистической карточке формы № 1.П отражаются сведения о лицах:</w:t>
      </w:r>
    </w:p>
    <w:p>
      <w:pPr>
        <w:spacing w:after="120"/>
        <w:jc w:val="both"/>
      </w:pPr>
      <w:r>
        <w:rPr>
          <w:rFonts w:ascii="Arial" w:cs="Arial" w:eastAsia="Arial" w:hAnsi="Arial"/>
          <w:sz w:val="24"/>
          <w:szCs w:val="24"/>
        </w:rPr>
        <w:t xml:space="preserve">- признанных в установленном законом порядке потерпевшими;</w:t>
      </w:r>
    </w:p>
    <w:p>
      <w:pPr>
        <w:spacing w:after="120"/>
        <w:jc w:val="both"/>
      </w:pPr>
      <w:r>
        <w:rPr>
          <w:rFonts w:ascii="Arial" w:cs="Arial" w:eastAsia="Arial" w:hAnsi="Arial"/>
          <w:sz w:val="24"/>
          <w:szCs w:val="24"/>
        </w:rPr>
        <w:t xml:space="preserve">- смерть, которых наступила в результате совершенных в отношении них преступлений до момента вынесения постановления о признании их потерпевшими.</w:t>
      </w:r>
    </w:p>
    <w:p>
      <w:pPr>
        <w:spacing w:after="120"/>
        <w:jc w:val="both"/>
      </w:pPr>
      <w:r>
        <w:rPr>
          <w:rFonts w:ascii="Arial" w:cs="Arial" w:eastAsia="Arial" w:hAnsi="Arial"/>
          <w:sz w:val="24"/>
          <w:szCs w:val="24"/>
        </w:rPr>
        <w:t xml:space="preserve">112. Единая статистическая карточка заполняется сотрудником правоохранительного органа, проводившим расследование, или принявшим решение об отказе в возбуждении уголовного дела по нереабилитирующим основаниям, а также судьей по делам частного обвинения.</w:t>
      </w:r>
    </w:p>
    <w:p>
      <w:pPr>
        <w:spacing w:after="120"/>
        <w:jc w:val="both"/>
      </w:pPr>
      <w:r>
        <w:rPr>
          <w:rFonts w:ascii="Arial" w:cs="Arial" w:eastAsia="Arial" w:hAnsi="Arial"/>
          <w:sz w:val="24"/>
          <w:szCs w:val="24"/>
        </w:rPr>
        <w:t xml:space="preserve">113. Основаниями выставления единой статистической карточки формы № 1.П являются:</w:t>
      </w:r>
    </w:p>
    <w:p>
      <w:pPr>
        <w:spacing w:after="120"/>
        <w:jc w:val="both"/>
      </w:pPr>
      <w:r>
        <w:rPr>
          <w:rFonts w:ascii="Arial" w:cs="Arial" w:eastAsia="Arial" w:hAnsi="Arial"/>
          <w:sz w:val="24"/>
          <w:szCs w:val="24"/>
        </w:rPr>
        <w:t xml:space="preserve">- постановление о признании потерпевшим;</w:t>
      </w:r>
    </w:p>
    <w:p>
      <w:pPr>
        <w:spacing w:after="120"/>
        <w:jc w:val="both"/>
      </w:pPr>
      <w:r>
        <w:rPr>
          <w:rFonts w:ascii="Arial" w:cs="Arial" w:eastAsia="Arial" w:hAnsi="Arial"/>
          <w:sz w:val="24"/>
          <w:szCs w:val="24"/>
        </w:rPr>
        <w:t xml:space="preserve">- определение суда о признании потерпевшим;</w:t>
      </w:r>
    </w:p>
    <w:p>
      <w:pPr>
        <w:spacing w:after="120"/>
        <w:jc w:val="both"/>
      </w:pPr>
      <w:r>
        <w:rPr>
          <w:rFonts w:ascii="Arial" w:cs="Arial" w:eastAsia="Arial" w:hAnsi="Arial"/>
          <w:sz w:val="24"/>
          <w:szCs w:val="24"/>
        </w:rPr>
        <w:t xml:space="preserve">- постановление о возбуждении уголовного дела по факту смерти лица, в случае, когда постановление о признании потерпевшим не выносилось;</w:t>
      </w:r>
    </w:p>
    <w:p>
      <w:pPr>
        <w:spacing w:after="120"/>
        <w:jc w:val="both"/>
      </w:pPr>
      <w:r>
        <w:rPr>
          <w:rFonts w:ascii="Arial" w:cs="Arial" w:eastAsia="Arial" w:hAnsi="Arial"/>
          <w:sz w:val="24"/>
          <w:szCs w:val="24"/>
        </w:rPr>
        <w:t xml:space="preserve">- постановление об отказе в возбуждении уголовного дела по нереабилитирующим основаниям, где указано потерпевшее лицо.</w:t>
      </w:r>
    </w:p>
    <w:p>
      <w:pPr>
        <w:spacing w:after="120"/>
        <w:jc w:val="both"/>
      </w:pPr>
      <w:r>
        <w:rPr>
          <w:rFonts w:ascii="Arial" w:cs="Arial" w:eastAsia="Arial" w:hAnsi="Arial"/>
          <w:sz w:val="24"/>
          <w:szCs w:val="24"/>
        </w:rPr>
        <w:t xml:space="preserve">114. Единая статистическая карточка формы № 1.П выставляется по материалам уголовного дела на каждого потерпевшего, проходящего по уголовному делу. Сведения о потерпевшем в единой статистической карточке формы № 1.П отражаются по наиболее тяжкому преступлению, по которому лицо признано потерпевшим.</w:t>
      </w:r>
    </w:p>
    <w:p>
      <w:pPr>
        <w:spacing w:after="120"/>
        <w:jc w:val="both"/>
      </w:pPr>
      <w:r>
        <w:rPr>
          <w:rFonts w:ascii="Arial" w:cs="Arial" w:eastAsia="Arial" w:hAnsi="Arial"/>
          <w:sz w:val="24"/>
          <w:szCs w:val="24"/>
        </w:rPr>
        <w:t xml:space="preserve">Единая статистическая карточка формы № 1.П не выставляется на лиц - близких родственников, признанных потерпевшими по уголовному делу о преступлении, последствием которого явилась смерть лица.</w:t>
      </w:r>
    </w:p>
    <w:p>
      <w:pPr>
        <w:spacing w:after="120"/>
        <w:jc w:val="both"/>
      </w:pPr>
      <w:r>
        <w:rPr>
          <w:rFonts w:ascii="Arial" w:cs="Arial" w:eastAsia="Arial" w:hAnsi="Arial"/>
          <w:sz w:val="24"/>
          <w:szCs w:val="24"/>
        </w:rPr>
        <w:t xml:space="preserve">115. При заполнении единой статистической карточки формы № 1.П должны выполняться следующие требования:</w:t>
      </w:r>
    </w:p>
    <w:p>
      <w:pPr>
        <w:spacing w:after="120"/>
        <w:jc w:val="both"/>
      </w:pPr>
      <w:r>
        <w:rPr>
          <w:rFonts w:ascii="Arial" w:cs="Arial" w:eastAsia="Arial" w:hAnsi="Arial"/>
          <w:sz w:val="24"/>
          <w:szCs w:val="24"/>
        </w:rPr>
        <w:t xml:space="preserve">- в реквизите 12 кодирование сведений осуществляется путем наложения кодов, сведения о возрасте указываются в полных годах;</w:t>
      </w:r>
    </w:p>
    <w:p>
      <w:pPr>
        <w:spacing w:after="120"/>
        <w:jc w:val="both"/>
      </w:pPr>
      <w:r>
        <w:rPr>
          <w:rFonts w:ascii="Arial" w:cs="Arial" w:eastAsia="Arial" w:hAnsi="Arial"/>
          <w:sz w:val="24"/>
          <w:szCs w:val="24"/>
        </w:rPr>
        <w:t xml:space="preserve">- в реквизите 19 отражается квалификация всех преступлений, объединенных в одном уголовном деле, по которому лицо признано потерпевшим.</w:t>
      </w:r>
    </w:p>
    <w:p>
      <w:pPr>
        <w:spacing w:after="120"/>
        <w:jc w:val="both"/>
      </w:pPr>
      <w:r>
        <w:rPr>
          <w:rFonts w:ascii="Arial" w:cs="Arial" w:eastAsia="Arial" w:hAnsi="Arial"/>
          <w:sz w:val="24"/>
          <w:szCs w:val="24"/>
        </w:rPr>
        <w:t xml:space="preserve">При соединении нескольких уголовных дел в одно производство в единой статистической карточке формы № 1.П отражаются сведения о потерпевшем по уголовному делу в целом;</w:t>
      </w:r>
    </w:p>
    <w:p>
      <w:pPr>
        <w:spacing w:after="120"/>
        <w:jc w:val="both"/>
      </w:pPr>
      <w:r>
        <w:rPr>
          <w:rFonts w:ascii="Arial" w:cs="Arial" w:eastAsia="Arial" w:hAnsi="Arial"/>
          <w:sz w:val="24"/>
          <w:szCs w:val="24"/>
        </w:rPr>
        <w:t xml:space="preserve">- реквизит 22 характеризует место совершения преступления по административно-территориальному признаку.</w:t>
      </w:r>
    </w:p>
    <w:p>
      <w:pPr>
        <w:spacing w:after="120"/>
        <w:jc w:val="both"/>
      </w:pPr>
      <w:r>
        <w:rPr>
          <w:rFonts w:ascii="Arial" w:cs="Arial" w:eastAsia="Arial" w:hAnsi="Arial"/>
          <w:sz w:val="24"/>
          <w:szCs w:val="24"/>
        </w:rPr>
        <w:t xml:space="preserve">Глава 9. Заполнение и представление статистических карточек форм №№ 1.2 и 2.1</w:t>
      </w:r>
    </w:p>
    <w:p>
      <w:pPr>
        <w:spacing w:after="120"/>
        <w:jc w:val="both"/>
      </w:pPr>
      <w:r>
        <w:rPr>
          <w:rFonts w:ascii="Arial" w:cs="Arial" w:eastAsia="Arial" w:hAnsi="Arial"/>
          <w:sz w:val="24"/>
          <w:szCs w:val="24"/>
        </w:rPr>
        <w:t xml:space="preserve">116. В статистической карточке формы № 1.2 отражается вступившее в законную силу решение по уголовному делу, рассмотренному судом. В статистической карточке формы № 2.1 отражается вступившее в законную силу решение суда по каждому подсудимому лицу. Они заполняются лицом, проводившим расследование уголовного дела, должностным лицом, уполномоченным органом дознания осуществлять ускоренное досудебное производство, а также в суде уполномоченным работником аппарата суда.</w:t>
      </w:r>
    </w:p>
    <w:p>
      <w:pPr>
        <w:spacing w:after="120"/>
        <w:jc w:val="both"/>
      </w:pPr>
      <w:r>
        <w:rPr>
          <w:rFonts w:ascii="Arial" w:cs="Arial" w:eastAsia="Arial" w:hAnsi="Arial"/>
          <w:sz w:val="24"/>
          <w:szCs w:val="24"/>
        </w:rPr>
        <w:t xml:space="preserve">117. Лицо, проводившее расследование, при направлении уголовного дела прокурору для решения вопроса об утверждении обвинительного заключения, протокола ускоренного досудебного производства, подшивает в начале дела бланки форм №№ 1.2 и № 2.1 (на каждого обвиняемого), в которых заполняет разделы 1 и 2.</w:t>
      </w:r>
    </w:p>
    <w:p>
      <w:pPr>
        <w:spacing w:after="120"/>
        <w:jc w:val="both"/>
      </w:pPr>
      <w:r>
        <w:rPr>
          <w:rFonts w:ascii="Arial" w:cs="Arial" w:eastAsia="Arial" w:hAnsi="Arial"/>
          <w:sz w:val="24"/>
          <w:szCs w:val="24"/>
        </w:rPr>
        <w:t xml:space="preserve">118. При заполнении единых статистических карточек форм №  1.2 и 2.1 должны выполняться следующие требования:</w:t>
      </w:r>
    </w:p>
    <w:p>
      <w:pPr>
        <w:spacing w:after="120"/>
        <w:jc w:val="both"/>
      </w:pPr>
      <w:r>
        <w:rPr>
          <w:rFonts w:ascii="Arial" w:cs="Arial" w:eastAsia="Arial" w:hAnsi="Arial"/>
          <w:sz w:val="24"/>
          <w:szCs w:val="24"/>
        </w:rPr>
        <w:t xml:space="preserve">- разделы 1 и 2 заполняются и подписываются лицом, проводившим расследование;</w:t>
      </w:r>
    </w:p>
    <w:p>
      <w:pPr>
        <w:spacing w:after="120"/>
        <w:jc w:val="both"/>
      </w:pPr>
      <w:r>
        <w:rPr>
          <w:rFonts w:ascii="Arial" w:cs="Arial" w:eastAsia="Arial" w:hAnsi="Arial"/>
          <w:sz w:val="24"/>
          <w:szCs w:val="24"/>
        </w:rPr>
        <w:t xml:space="preserve">- дата направления дела в суд указывается прокурором, утвердившим обвинительное заключение, протокол ускоренного досудебного производства и направившим его в суд;</w:t>
      </w:r>
    </w:p>
    <w:p>
      <w:pPr>
        <w:spacing w:after="120"/>
        <w:jc w:val="both"/>
      </w:pPr>
      <w:r>
        <w:rPr>
          <w:rFonts w:ascii="Arial" w:cs="Arial" w:eastAsia="Arial" w:hAnsi="Arial"/>
          <w:sz w:val="24"/>
          <w:szCs w:val="24"/>
        </w:rPr>
        <w:t xml:space="preserve">- в заполненных единых статистических карточек форм №№ 1.2 и 2.1 лицом, направившим дело в суд, указывается наименование органа, проводившего расследование дела, и его почтовый адрес;</w:t>
      </w:r>
    </w:p>
    <w:p>
      <w:pPr>
        <w:spacing w:after="120"/>
        <w:jc w:val="both"/>
      </w:pPr>
      <w:r>
        <w:rPr>
          <w:rFonts w:ascii="Arial" w:cs="Arial" w:eastAsia="Arial" w:hAnsi="Arial"/>
          <w:sz w:val="24"/>
          <w:szCs w:val="24"/>
        </w:rPr>
        <w:t xml:space="preserve">- раздел 3 заполняется в суде при обращении к исполнению вступившего в законную силу приговора (иного постановления суда) по существу дела.</w:t>
      </w:r>
    </w:p>
    <w:p>
      <w:pPr>
        <w:spacing w:after="120"/>
        <w:jc w:val="both"/>
      </w:pPr>
      <w:r>
        <w:rPr>
          <w:rFonts w:ascii="Arial" w:cs="Arial" w:eastAsia="Arial" w:hAnsi="Arial"/>
          <w:sz w:val="24"/>
          <w:szCs w:val="24"/>
        </w:rPr>
        <w:t xml:space="preserve">119. Заполненные единые статистические карточки форм №№ 1.2 и 2.1 заверяются подписью судьи, печатью и направляются в региональные подразделения правовой статистики и учетов органов прокуратуры.</w:t>
      </w:r>
    </w:p>
    <w:p>
      <w:pPr>
        <w:spacing w:after="120"/>
        <w:jc w:val="both"/>
      </w:pPr>
      <w:r>
        <w:rPr>
          <w:rFonts w:ascii="Arial" w:cs="Arial" w:eastAsia="Arial" w:hAnsi="Arial"/>
          <w:sz w:val="24"/>
          <w:szCs w:val="24"/>
        </w:rPr>
        <w:t xml:space="preserve">120. Региональные подразделения правовой статистики и учетов органов прокуратуры отражают сведения о решении судов в Контрольном журнале учета преступлений, лиц их совершивших, и движения уголовных дел, алфавитно-справочных учетах и вносят соответствующие корректировки в статистическую отчетность в пределах отчетного года. После этого статистические карточки форм №№ 1.2 и 2.1 направляются в центральный аппарат управления правовой статистики и учетов Генеральной прокуратуры Кыргызской Республики.</w:t>
      </w:r>
    </w:p>
    <w:p>
      <w:pPr>
        <w:spacing w:after="120"/>
        <w:jc w:val="both"/>
      </w:pPr>
      <w:r>
        <w:rPr>
          <w:rFonts w:ascii="Arial" w:cs="Arial" w:eastAsia="Arial" w:hAnsi="Arial"/>
          <w:sz w:val="24"/>
          <w:szCs w:val="24"/>
        </w:rPr>
        <w:t xml:space="preserve">121. Управление правовой статистики и учетов Генеральной прокуратуры Кыргызской Республики, после занесения сведений в базу данных, передает статистические карточки форм №№ 1.2 и 2.1 в алфавитно-справочную картотеку.</w:t>
      </w:r>
    </w:p>
    <w:p>
      <w:pPr>
        <w:spacing w:after="120"/>
        <w:jc w:val="both"/>
      </w:pPr>
      <w:r>
        <w:rPr>
          <w:rFonts w:ascii="Arial" w:cs="Arial" w:eastAsia="Arial" w:hAnsi="Arial"/>
          <w:sz w:val="24"/>
          <w:szCs w:val="24"/>
        </w:rPr>
        <w:t xml:space="preserve">122. После отражения данных в соответствующих в алфавитных карточках и в базе данных, статистические карточки форм №№ 1.2 и 2.1 передаются в соответствующие территориальные учетно-регистрационные подразделения правоохранительных органов, где данные с этих карточек заносятся в Единый журнал учета преступлений, лиц их совершивших, и движения уголовных дел.</w:t>
      </w:r>
    </w:p>
    <w:p>
      <w:pPr>
        <w:spacing w:after="120"/>
        <w:jc w:val="both"/>
      </w:pPr>
      <w:r>
        <w:rPr>
          <w:rFonts w:ascii="Arial" w:cs="Arial" w:eastAsia="Arial" w:hAnsi="Arial"/>
          <w:sz w:val="24"/>
          <w:szCs w:val="24"/>
        </w:rPr>
        <w:t xml:space="preserve">Глава 10. Ведение Единого журнала учета преступлений, лиц, их совершивших, и движения уголовных дел</w:t>
      </w:r>
    </w:p>
    <w:p>
      <w:pPr>
        <w:spacing w:after="120"/>
        <w:jc w:val="both"/>
      </w:pPr>
      <w:r>
        <w:rPr>
          <w:rFonts w:ascii="Arial" w:cs="Arial" w:eastAsia="Arial" w:hAnsi="Arial"/>
          <w:sz w:val="24"/>
          <w:szCs w:val="24"/>
        </w:rPr>
        <w:t xml:space="preserve">123. Единый журнал учета преступлений, лиц их совершивших, и движения уголовных дел (далее - Единый журнал) ведется в учетно-регистрационном подразделении правоохранительного органа. В Едином журнале на основе поступивших от прокуроров, следователей, должностных лиц, уполномоченных органом дознания вести ускоренное досудебное производство, судей (по делам частного обвинения) документов первичного учета учитываются все зарегистрированные преступления, лица, их совершившие, уголовные дела, дела ускоренного досудебного производства и результаты судебного рассмотрения уголовных дел.</w:t>
      </w:r>
    </w:p>
    <w:p>
      <w:pPr>
        <w:spacing w:after="120"/>
        <w:jc w:val="both"/>
      </w:pPr>
      <w:r>
        <w:rPr>
          <w:rFonts w:ascii="Arial" w:cs="Arial" w:eastAsia="Arial" w:hAnsi="Arial"/>
          <w:sz w:val="24"/>
          <w:szCs w:val="24"/>
        </w:rPr>
        <w:t xml:space="preserve">124. Дополнительно зарегистрированные в процессе расследования преступления учитываются в Едином журнале с указанием очередного порядкового номера записи и номера уголовного дела, по которому они выявлены.</w:t>
      </w:r>
    </w:p>
    <w:p>
      <w:pPr>
        <w:spacing w:after="120"/>
        <w:jc w:val="both"/>
      </w:pPr>
      <w:r>
        <w:rPr>
          <w:rFonts w:ascii="Arial" w:cs="Arial" w:eastAsia="Arial" w:hAnsi="Arial"/>
          <w:sz w:val="24"/>
          <w:szCs w:val="24"/>
        </w:rPr>
        <w:t xml:space="preserve">125. В Единый журнал вносятся сведения:</w:t>
      </w:r>
    </w:p>
    <w:p>
      <w:pPr>
        <w:spacing w:after="120"/>
        <w:jc w:val="both"/>
      </w:pPr>
      <w:r>
        <w:rPr>
          <w:rFonts w:ascii="Arial" w:cs="Arial" w:eastAsia="Arial" w:hAnsi="Arial"/>
          <w:sz w:val="24"/>
          <w:szCs w:val="24"/>
        </w:rPr>
        <w:t xml:space="preserve">- в графы 2-7 - на основании статистической карточки формы № 1.0;</w:t>
      </w:r>
    </w:p>
    <w:p>
      <w:pPr>
        <w:spacing w:after="120"/>
        <w:jc w:val="both"/>
      </w:pPr>
      <w:r>
        <w:rPr>
          <w:rFonts w:ascii="Arial" w:cs="Arial" w:eastAsia="Arial" w:hAnsi="Arial"/>
          <w:sz w:val="24"/>
          <w:szCs w:val="24"/>
        </w:rPr>
        <w:t xml:space="preserve">- в графу 8 - на основании статистических карточек форм №№ 1.1 и 2.0;</w:t>
      </w:r>
    </w:p>
    <w:p>
      <w:pPr>
        <w:spacing w:after="120"/>
        <w:jc w:val="both"/>
      </w:pPr>
      <w:r>
        <w:rPr>
          <w:rFonts w:ascii="Arial" w:cs="Arial" w:eastAsia="Arial" w:hAnsi="Arial"/>
          <w:sz w:val="24"/>
          <w:szCs w:val="24"/>
        </w:rPr>
        <w:t xml:space="preserve">- в графы 11-14 и 16 - на основании статистических карточек форм №№ 1.1 и 2.0;</w:t>
      </w:r>
    </w:p>
    <w:p>
      <w:pPr>
        <w:spacing w:after="120"/>
        <w:jc w:val="both"/>
      </w:pPr>
      <w:r>
        <w:rPr>
          <w:rFonts w:ascii="Arial" w:cs="Arial" w:eastAsia="Arial" w:hAnsi="Arial"/>
          <w:sz w:val="24"/>
          <w:szCs w:val="24"/>
        </w:rPr>
        <w:t xml:space="preserve">- в графу 15 - на основании статистической карточки формы № 3;</w:t>
      </w:r>
    </w:p>
    <w:p>
      <w:pPr>
        <w:spacing w:after="120"/>
        <w:jc w:val="both"/>
      </w:pPr>
      <w:r>
        <w:rPr>
          <w:rFonts w:ascii="Arial" w:cs="Arial" w:eastAsia="Arial" w:hAnsi="Arial"/>
          <w:sz w:val="24"/>
          <w:szCs w:val="24"/>
        </w:rPr>
        <w:t xml:space="preserve">- в графу 17 - на основании статистических карточек форм №№ 1.2 и 2.1.</w:t>
      </w:r>
    </w:p>
    <w:p>
      <w:pPr>
        <w:spacing w:after="120"/>
        <w:jc w:val="both"/>
      </w:pPr>
      <w:r>
        <w:rPr>
          <w:rFonts w:ascii="Arial" w:cs="Arial" w:eastAsia="Arial" w:hAnsi="Arial"/>
          <w:sz w:val="24"/>
          <w:szCs w:val="24"/>
        </w:rPr>
        <w:t xml:space="preserve">126. В случае поступления дополнительных статистических карточек, ранее произведенные в Едином журнале записи, уточняются и дополняются.</w:t>
      </w:r>
    </w:p>
    <w:p>
      <w:pPr>
        <w:spacing w:after="120"/>
        <w:jc w:val="both"/>
      </w:pPr>
      <w:r>
        <w:rPr>
          <w:rFonts w:ascii="Arial" w:cs="Arial" w:eastAsia="Arial" w:hAnsi="Arial"/>
          <w:sz w:val="24"/>
          <w:szCs w:val="24"/>
        </w:rPr>
        <w:t xml:space="preserve">Вносимые дополнения и производимые исправления в обязательном порядке должны быть заверены подписью с указанием фамилии лица, их производившего, и даты внесения.</w:t>
      </w:r>
    </w:p>
    <w:p>
      <w:pPr>
        <w:spacing w:after="120"/>
        <w:jc w:val="both"/>
      </w:pPr>
      <w:r>
        <w:rPr>
          <w:rFonts w:ascii="Arial" w:cs="Arial" w:eastAsia="Arial" w:hAnsi="Arial"/>
          <w:sz w:val="24"/>
          <w:szCs w:val="24"/>
        </w:rPr>
        <w:t xml:space="preserve">127. Полнота и достоверность записей в Едином журнале, их соответствие содержанию учетных документов ежемесячно проверяются руководителем правоохранительного органа, а также сотрудниками регистрационно-учетных подразделений при осуществлении ими проверок состояния учетно-регистрационной работы и проведении сверок учетных данных за каждый отчетный период.</w:t>
      </w:r>
    </w:p>
    <w:p>
      <w:pPr>
        <w:spacing w:after="120"/>
        <w:jc w:val="both"/>
      </w:pPr>
      <w:r>
        <w:rPr>
          <w:rFonts w:ascii="Arial" w:cs="Arial" w:eastAsia="Arial" w:hAnsi="Arial"/>
          <w:sz w:val="24"/>
          <w:szCs w:val="24"/>
        </w:rPr>
        <w:t xml:space="preserve">128. Единый журнал подлежит предъявлению прокурору по первому его требованию. Ежемесячные сведения об учтенных и нераскрытых преступлениях по приостановленным и находящимся на стадии расследования делам также представляются надзирающему прокурору.</w:t>
      </w:r>
    </w:p>
    <w:p>
      <w:pPr>
        <w:spacing w:after="120"/>
        <w:jc w:val="both"/>
      </w:pPr>
      <w:r>
        <w:rPr>
          <w:rFonts w:ascii="Arial" w:cs="Arial" w:eastAsia="Arial" w:hAnsi="Arial"/>
          <w:sz w:val="24"/>
          <w:szCs w:val="24"/>
        </w:rPr>
        <w:t xml:space="preserve">129. После учета в Едином журнале документы первичного учета в течение суток направляются в подразделения правовой статистики и учетов органов прокуратуры, где регистрируются в Контрольном журнале и вливаются в информационный массив учетных документов текущего года.</w:t>
      </w:r>
    </w:p>
    <w:p>
      <w:pPr>
        <w:spacing w:after="120"/>
        <w:jc w:val="both"/>
      </w:pPr>
      <w:r>
        <w:rPr>
          <w:rFonts w:ascii="Arial" w:cs="Arial" w:eastAsia="Arial" w:hAnsi="Arial"/>
          <w:sz w:val="24"/>
          <w:szCs w:val="24"/>
        </w:rPr>
        <w:t xml:space="preserve">130. Для отражения специфики своей деятельности субъекты регистрации и учета вправе дополнять установленную форму журнала необходимыми им графами по согласованию с центральным аппаратом управления правовой статистики и учетов Генеральной прокуратуры Кыргызской Республики.</w:t>
      </w:r>
    </w:p>
    <w:p>
      <w:pPr>
        <w:spacing w:after="120"/>
        <w:jc w:val="both"/>
      </w:pPr>
      <w:r>
        <w:rPr>
          <w:rFonts w:ascii="Arial" w:cs="Arial" w:eastAsia="Arial" w:hAnsi="Arial"/>
          <w:sz w:val="24"/>
          <w:szCs w:val="24"/>
        </w:rPr>
        <w:t xml:space="preserve">Глава 11. Ведение Контрольного журнала учета преступлений, лиц, их совершивших, и движения уголовных дел</w:t>
      </w:r>
    </w:p>
    <w:p>
      <w:pPr>
        <w:spacing w:after="120"/>
        <w:jc w:val="both"/>
      </w:pPr>
      <w:r>
        <w:rPr>
          <w:rFonts w:ascii="Arial" w:cs="Arial" w:eastAsia="Arial" w:hAnsi="Arial"/>
          <w:sz w:val="24"/>
          <w:szCs w:val="24"/>
        </w:rPr>
        <w:t xml:space="preserve">131. Контрольный журналы учета преступлений, лиц их совершивших, и движения уголовных дел (далее - Контрольный журнал) ведется в подразделениях правовой статистики и учетов органов прокуратуры и является средством контроля и надзора за своевременностью поступления учетных документов по материалам доследственных проверок, по которым приняты решения об отказе в возбуждении уголовного дела по нереабилитирующим основаниям, а также своевременностью вынесения решений по расследуемым уголовным делам и делам ускоренного досудебного производства.</w:t>
      </w:r>
    </w:p>
    <w:p>
      <w:pPr>
        <w:spacing w:after="120"/>
        <w:jc w:val="both"/>
      </w:pPr>
      <w:r>
        <w:rPr>
          <w:rFonts w:ascii="Arial" w:cs="Arial" w:eastAsia="Arial" w:hAnsi="Arial"/>
          <w:sz w:val="24"/>
          <w:szCs w:val="24"/>
        </w:rPr>
        <w:t xml:space="preserve">132. В Контрольный журнал вносятся сведения:</w:t>
      </w:r>
    </w:p>
    <w:p>
      <w:pPr>
        <w:spacing w:after="120"/>
        <w:jc w:val="both"/>
      </w:pPr>
      <w:r>
        <w:rPr>
          <w:rFonts w:ascii="Arial" w:cs="Arial" w:eastAsia="Arial" w:hAnsi="Arial"/>
          <w:sz w:val="24"/>
          <w:szCs w:val="24"/>
        </w:rPr>
        <w:t xml:space="preserve">- в графы 2-6 - на основании статистической карточки формы № 1.0;</w:t>
      </w:r>
    </w:p>
    <w:p>
      <w:pPr>
        <w:spacing w:after="120"/>
        <w:jc w:val="both"/>
      </w:pPr>
      <w:r>
        <w:rPr>
          <w:rFonts w:ascii="Arial" w:cs="Arial" w:eastAsia="Arial" w:hAnsi="Arial"/>
          <w:sz w:val="24"/>
          <w:szCs w:val="24"/>
        </w:rPr>
        <w:t xml:space="preserve">- в графу 7 - на основании статистических карточек форм №№ 1.1 и 2.0;</w:t>
      </w:r>
    </w:p>
    <w:p>
      <w:pPr>
        <w:spacing w:after="120"/>
        <w:jc w:val="both"/>
      </w:pPr>
      <w:r>
        <w:rPr>
          <w:rFonts w:ascii="Arial" w:cs="Arial" w:eastAsia="Arial" w:hAnsi="Arial"/>
          <w:sz w:val="24"/>
          <w:szCs w:val="24"/>
        </w:rPr>
        <w:t xml:space="preserve">- в графы 8-10 - на основании статистических карточек форм №№ 1.1 и 2.0;</w:t>
      </w:r>
    </w:p>
    <w:p>
      <w:pPr>
        <w:spacing w:after="120"/>
        <w:jc w:val="both"/>
      </w:pPr>
      <w:r>
        <w:rPr>
          <w:rFonts w:ascii="Arial" w:cs="Arial" w:eastAsia="Arial" w:hAnsi="Arial"/>
          <w:sz w:val="24"/>
          <w:szCs w:val="24"/>
        </w:rPr>
        <w:t xml:space="preserve">- в графу 11 - на основании статистической карточки формы № 3;</w:t>
      </w:r>
    </w:p>
    <w:p>
      <w:pPr>
        <w:spacing w:after="120"/>
        <w:jc w:val="both"/>
      </w:pPr>
      <w:r>
        <w:rPr>
          <w:rFonts w:ascii="Arial" w:cs="Arial" w:eastAsia="Arial" w:hAnsi="Arial"/>
          <w:sz w:val="24"/>
          <w:szCs w:val="24"/>
        </w:rPr>
        <w:t xml:space="preserve">- в графу 12 - на основании статистических карточек форм №№ 1.1, 3;</w:t>
      </w:r>
    </w:p>
    <w:p>
      <w:pPr>
        <w:spacing w:after="120"/>
        <w:jc w:val="both"/>
      </w:pPr>
      <w:r>
        <w:rPr>
          <w:rFonts w:ascii="Arial" w:cs="Arial" w:eastAsia="Arial" w:hAnsi="Arial"/>
          <w:sz w:val="24"/>
          <w:szCs w:val="24"/>
        </w:rPr>
        <w:t xml:space="preserve">- в графу 13 - на основании статистических карточек форм №№ 1.2 и 2.1.</w:t>
      </w:r>
    </w:p>
    <w:p>
      <w:pPr>
        <w:spacing w:after="120"/>
        <w:jc w:val="both"/>
      </w:pPr>
      <w:r>
        <w:rPr>
          <w:rFonts w:ascii="Arial" w:cs="Arial" w:eastAsia="Arial" w:hAnsi="Arial"/>
          <w:sz w:val="24"/>
          <w:szCs w:val="24"/>
        </w:rPr>
        <w:t xml:space="preserve">133. Вносимые в Контрольный журнал дополнения и производимые исправления в обязательном порядке должны быть заверены подписью лица, их производившего, с указанием фамилии и даты внесения.</w:t>
      </w:r>
    </w:p>
    <w:p>
      <w:pPr>
        <w:spacing w:after="120"/>
        <w:jc w:val="both"/>
      </w:pPr>
      <w:r>
        <w:rPr>
          <w:rFonts w:ascii="Arial" w:cs="Arial" w:eastAsia="Arial" w:hAnsi="Arial"/>
          <w:sz w:val="24"/>
          <w:szCs w:val="24"/>
        </w:rPr>
        <w:t xml:space="preserve">134. Подразделениям правовой статистики и учетов органов прокуратуры предоставлено право использовать средства электронно-вычислительной техники для ведения Контрольных журналов на электронных носителях.</w:t>
      </w:r>
    </w:p>
    <w:p>
      <w:pPr>
        <w:spacing w:after="120"/>
        <w:jc w:val="both"/>
      </w:pPr>
      <w:r>
        <w:rPr>
          <w:rFonts w:ascii="Arial" w:cs="Arial" w:eastAsia="Arial" w:hAnsi="Arial"/>
          <w:sz w:val="24"/>
          <w:szCs w:val="24"/>
        </w:rPr>
        <w:t xml:space="preserve">Использование средств электронно-вычислительной техники в этих целях возможно только при реализации следующих требований к программному обеспечению:</w:t>
      </w:r>
    </w:p>
    <w:p>
      <w:pPr>
        <w:spacing w:after="120"/>
        <w:jc w:val="both"/>
      </w:pPr>
      <w:r>
        <w:rPr>
          <w:rFonts w:ascii="Arial" w:cs="Arial" w:eastAsia="Arial" w:hAnsi="Arial"/>
          <w:sz w:val="24"/>
          <w:szCs w:val="24"/>
        </w:rPr>
        <w:t xml:space="preserve">- сохранение хронологии производимых в Контрольном журнале дополнений и исправлений;</w:t>
      </w:r>
    </w:p>
    <w:p>
      <w:pPr>
        <w:spacing w:after="120"/>
        <w:jc w:val="both"/>
      </w:pPr>
      <w:r>
        <w:rPr>
          <w:rFonts w:ascii="Arial" w:cs="Arial" w:eastAsia="Arial" w:hAnsi="Arial"/>
          <w:sz w:val="24"/>
          <w:szCs w:val="24"/>
        </w:rPr>
        <w:t xml:space="preserve">- возможность установления лица, производившего любое из перечисленных выше действий;</w:t>
      </w:r>
    </w:p>
    <w:p>
      <w:pPr>
        <w:spacing w:after="120"/>
        <w:jc w:val="both"/>
      </w:pPr>
      <w:r>
        <w:rPr>
          <w:rFonts w:ascii="Arial" w:cs="Arial" w:eastAsia="Arial" w:hAnsi="Arial"/>
          <w:sz w:val="24"/>
          <w:szCs w:val="24"/>
        </w:rPr>
        <w:t xml:space="preserve">- исключение возможности несанкционированного доступа к электронному Контрольному журналу.</w:t>
      </w:r>
    </w:p>
    <w:p>
      <w:pPr>
        <w:spacing w:after="120"/>
        <w:jc w:val="both"/>
      </w:pPr>
      <w:r>
        <w:rPr>
          <w:rFonts w:ascii="Arial" w:cs="Arial" w:eastAsia="Arial" w:hAnsi="Arial"/>
          <w:sz w:val="24"/>
          <w:szCs w:val="24"/>
        </w:rPr>
        <w:t xml:space="preserve">Глава 12. Порядок ведения Журнала учета материалов, по которым вынесены постановления об отказе в возбуждении уголовного дела</w:t>
      </w:r>
    </w:p>
    <w:p>
      <w:pPr>
        <w:spacing w:after="120"/>
        <w:jc w:val="both"/>
      </w:pPr>
      <w:r>
        <w:rPr>
          <w:rFonts w:ascii="Arial" w:cs="Arial" w:eastAsia="Arial" w:hAnsi="Arial"/>
          <w:sz w:val="24"/>
          <w:szCs w:val="24"/>
        </w:rPr>
        <w:t xml:space="preserve">135. Журнал учета материалов, по которым вынесены постановления об отказе в возбуждении уголовного дела, ведется в учетно-регистрационном подразделении правоохранительного органа.</w:t>
      </w:r>
    </w:p>
    <w:p>
      <w:pPr>
        <w:spacing w:after="120"/>
        <w:jc w:val="both"/>
      </w:pPr>
      <w:r>
        <w:rPr>
          <w:rFonts w:ascii="Arial" w:cs="Arial" w:eastAsia="Arial" w:hAnsi="Arial"/>
          <w:sz w:val="24"/>
          <w:szCs w:val="24"/>
        </w:rPr>
        <w:t xml:space="preserve">136. В журнал учета материалов, по которым вынесены постановления об отказе в возбуждении уголовного дела, вносятся сведения:</w:t>
      </w:r>
    </w:p>
    <w:p>
      <w:pPr>
        <w:spacing w:after="120"/>
        <w:jc w:val="both"/>
      </w:pPr>
      <w:r>
        <w:rPr>
          <w:rFonts w:ascii="Arial" w:cs="Arial" w:eastAsia="Arial" w:hAnsi="Arial"/>
          <w:sz w:val="24"/>
          <w:szCs w:val="24"/>
        </w:rPr>
        <w:t xml:space="preserve">- в графу 1 - регистрационный номер отказного материала;</w:t>
      </w:r>
    </w:p>
    <w:p>
      <w:pPr>
        <w:spacing w:after="120"/>
        <w:jc w:val="both"/>
      </w:pPr>
      <w:r>
        <w:rPr>
          <w:rFonts w:ascii="Arial" w:cs="Arial" w:eastAsia="Arial" w:hAnsi="Arial"/>
          <w:sz w:val="24"/>
          <w:szCs w:val="24"/>
        </w:rPr>
        <w:t xml:space="preserve">- в графу 2 - регистрационный номер материала по Книге учета заявлений и сообщений о преступлениях;</w:t>
      </w:r>
    </w:p>
    <w:p>
      <w:pPr>
        <w:spacing w:after="120"/>
        <w:jc w:val="both"/>
      </w:pPr>
      <w:r>
        <w:rPr>
          <w:rFonts w:ascii="Arial" w:cs="Arial" w:eastAsia="Arial" w:hAnsi="Arial"/>
          <w:sz w:val="24"/>
          <w:szCs w:val="24"/>
        </w:rPr>
        <w:t xml:space="preserve">- в графу 3 - дата вынесения постановления об отказе в возбуждении уголовного дела;</w:t>
      </w:r>
    </w:p>
    <w:p>
      <w:pPr>
        <w:spacing w:after="120"/>
        <w:jc w:val="both"/>
      </w:pPr>
      <w:r>
        <w:rPr>
          <w:rFonts w:ascii="Arial" w:cs="Arial" w:eastAsia="Arial" w:hAnsi="Arial"/>
          <w:sz w:val="24"/>
          <w:szCs w:val="24"/>
        </w:rPr>
        <w:t xml:space="preserve">- в графу 4 - фамилия, инициалы заявителя, наименование учреждения, предприятия, организации, откуда поступило заявление (сообщение);</w:t>
      </w:r>
    </w:p>
    <w:p>
      <w:pPr>
        <w:spacing w:after="120"/>
        <w:jc w:val="both"/>
      </w:pPr>
      <w:r>
        <w:rPr>
          <w:rFonts w:ascii="Arial" w:cs="Arial" w:eastAsia="Arial" w:hAnsi="Arial"/>
          <w:sz w:val="24"/>
          <w:szCs w:val="24"/>
        </w:rPr>
        <w:t xml:space="preserve">- в графу 5 - краткое описание события;</w:t>
      </w:r>
    </w:p>
    <w:p>
      <w:pPr>
        <w:spacing w:after="120"/>
        <w:jc w:val="both"/>
      </w:pPr>
      <w:r>
        <w:rPr>
          <w:rFonts w:ascii="Arial" w:cs="Arial" w:eastAsia="Arial" w:hAnsi="Arial"/>
          <w:sz w:val="24"/>
          <w:szCs w:val="24"/>
        </w:rPr>
        <w:t xml:space="preserve">- в графу 6 - мотивы отказа со ссылкой на статьи </w:t>
      </w:r>
      <w:hyperlink w:history="1" r:id="rIdy4fmnnzoodwxzhrjxr5o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графу 7 - кем вынесено постановление (фамилия, инициалы и должность);</w:t>
      </w:r>
    </w:p>
    <w:p>
      <w:pPr>
        <w:spacing w:after="120"/>
        <w:jc w:val="both"/>
      </w:pPr>
      <w:r>
        <w:rPr>
          <w:rFonts w:ascii="Arial" w:cs="Arial" w:eastAsia="Arial" w:hAnsi="Arial"/>
          <w:sz w:val="24"/>
          <w:szCs w:val="24"/>
        </w:rPr>
        <w:t xml:space="preserve">- в графу 8 - кем утверждено постановление (фамилия, инициалы и должность);</w:t>
      </w:r>
    </w:p>
    <w:p>
      <w:pPr>
        <w:spacing w:after="120"/>
        <w:jc w:val="both"/>
      </w:pPr>
      <w:r>
        <w:rPr>
          <w:rFonts w:ascii="Arial" w:cs="Arial" w:eastAsia="Arial" w:hAnsi="Arial"/>
          <w:sz w:val="24"/>
          <w:szCs w:val="24"/>
        </w:rPr>
        <w:t xml:space="preserve">- в графу 9 - материалы рассмотрены в срок свыше установленного по УПК Кыргызской Республики;</w:t>
      </w:r>
    </w:p>
    <w:p>
      <w:pPr>
        <w:spacing w:after="120"/>
        <w:jc w:val="both"/>
      </w:pPr>
      <w:r>
        <w:rPr>
          <w:rFonts w:ascii="Arial" w:cs="Arial" w:eastAsia="Arial" w:hAnsi="Arial"/>
          <w:sz w:val="24"/>
          <w:szCs w:val="24"/>
        </w:rPr>
        <w:t xml:space="preserve">- в графу 10 - движение материала (постановление отменено, возбуждено уголовное дело № ___; направлен с указанием № листа, № дела, где хранится сопроводительное письмо).</w:t>
      </w:r>
    </w:p>
    <w:p>
      <w:pPr>
        <w:spacing w:after="120"/>
        <w:jc w:val="both"/>
      </w:pPr>
      <w:r>
        <w:rPr>
          <w:rFonts w:ascii="Arial" w:cs="Arial" w:eastAsia="Arial" w:hAnsi="Arial"/>
          <w:sz w:val="24"/>
          <w:szCs w:val="24"/>
        </w:rPr>
        <w:t xml:space="preserve">137. Полнота и достоверность записей в Журнале учета материалов, по которым вынесены постановления об отказе в возбуждении уголовного дела, ежемесячно проверяются руководителем правоохранительного органа, а также сотрудниками учетно-регистрационных подразделений при осуществлении ими проверок состояния учетно-регистрационной работы и проведении сверок учетных данных за каждый отчетный период.</w:t>
      </w:r>
    </w:p>
    <w:p>
      <w:pPr>
        <w:spacing w:after="120"/>
        <w:jc w:val="both"/>
      </w:pPr>
      <w:r>
        <w:rPr>
          <w:rFonts w:ascii="Arial" w:cs="Arial" w:eastAsia="Arial" w:hAnsi="Arial"/>
          <w:sz w:val="24"/>
          <w:szCs w:val="24"/>
        </w:rPr>
        <w:t xml:space="preserve">138. Журнал учета материалов, по которым вынесены постановления об отказе в возбуждении уголовного дела, подлежит предъявлению прокурору по первому его требованию.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едином учете преступлений, уголовных дел и материалов, по которым принято решение об отказе в возбуждении уголовного дела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ЕДИНЫЙ ЖУРНАЛ № ______
 учета преступлений, лиц их совершивших, и движения уголовных дел</w:t>
      </w:r>
    </w:p>
    <w:p>
      <w:pPr>
        <w:spacing w:after="120"/>
        <w:jc w:val="both"/>
      </w:pPr>
      <w:r>
        <w:rPr>
          <w:rFonts w:ascii="Arial" w:cs="Arial" w:eastAsia="Arial" w:hAnsi="Arial"/>
          <w:sz w:val="24"/>
          <w:szCs w:val="24"/>
        </w:rPr>
        <w:t xml:space="preserve">________________________________________________
 (наименование органа уголовного преследования)</w:t>
      </w:r>
    </w:p>
    <w:p>
      <w:pPr>
        <w:tabs>
          <w:tab w:val="right" w:pos="10178"/>
        </w:tabs>
        <w:spacing w:after="120"/>
      </w:pPr>
      <w:r>
        <w:rPr>
          <w:rFonts w:ascii="Arial" w:cs="Arial" w:eastAsia="Arial" w:hAnsi="Arial"/>
          <w:sz w:val="24"/>
          <w:szCs w:val="24"/>
        </w:rPr>
        <w:t xml:space="preserve">Начат "___" ______________ 20__ г.</w:t>
      </w:r>
      <w:r>
        <w:rPr>
          <w:rFonts w:ascii="Arial" w:cs="Arial" w:eastAsia="Arial" w:hAnsi="Arial"/>
          <w:sz w:val="24"/>
          <w:szCs w:val="24"/>
        </w:rPr>
        <w:t xml:space="preserve">	</w:t>
      </w:r>
      <w:r>
        <w:rPr>
          <w:rFonts w:ascii="Arial" w:cs="Arial" w:eastAsia="Arial" w:hAnsi="Arial"/>
          <w:sz w:val="24"/>
          <w:szCs w:val="24"/>
        </w:rPr>
        <w:t xml:space="preserve">с № 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Инв. № _____</w:t>
      </w:r>
      <w:r>
        <w:rPr>
          <w:rFonts w:ascii="Arial" w:cs="Arial" w:eastAsia="Arial" w:hAnsi="Arial"/>
          <w:sz w:val="24"/>
          <w:szCs w:val="24"/>
        </w:rPr>
        <w:t xml:space="preserve">	</w:t>
      </w:r>
      <w:r>
        <w:rPr>
          <w:rFonts w:ascii="Arial" w:cs="Arial" w:eastAsia="Arial" w:hAnsi="Arial"/>
          <w:sz w:val="24"/>
          <w:szCs w:val="24"/>
        </w:rPr>
        <w:t xml:space="preserve">Срок хранения 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805"/>
        <w:gridCol w:w="805"/>
        <w:gridCol w:w="805"/>
        <w:gridCol w:w="805"/>
        <w:gridCol w:w="805"/>
        <w:gridCol w:w="805"/>
        <w:gridCol w:w="805"/>
        <w:gridCol w:w="987"/>
        <w:gridCol w:w="843"/>
        <w:gridCol w:w="1488"/>
        <w:gridCol w:w="796"/>
      </w:tblGrid>
      <w:tr>
        <w:tc>
          <w:tcPr>
            <w:tcW w:type="dxa" w:w="4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порядку</w:t>
            </w:r>
          </w:p>
        </w:tc>
        <w:tc>
          <w:tcPr>
            <w:tcW w:type="dxa" w:w="5635"/>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зарегистрированных преступлениях</w:t>
            </w:r>
          </w:p>
        </w:tc>
        <w:tc>
          <w:tcPr>
            <w:tcW w:type="dxa" w:w="9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 поступили в правоохранительный орган и кем составлены учетно-регистрационные документы (карточки по ф.ф. № 1, 1.1, 2, 3)</w:t>
            </w:r>
          </w:p>
        </w:tc>
        <w:tc>
          <w:tcPr>
            <w:tcW w:type="dxa" w:w="8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направления учетно-регистрационных документов в отдел ПСУ гороблпрокуратур Генеральной прокуратуры Кыргызской Республики</w:t>
            </w:r>
          </w:p>
        </w:tc>
        <w:tc>
          <w:tcPr>
            <w:tcW w:type="dxa" w:w="14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раскрытии преступления (дата и конкретные основания)</w:t>
            </w:r>
          </w:p>
        </w:tc>
        <w:tc>
          <w:tcPr>
            <w:tcW w:type="dxa" w:w="7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снятии преступления с учета, дата и процессуальные основания снятия</w:t>
            </w:r>
          </w:p>
        </w:tc>
      </w:tr>
      <w:tr>
        <w:tc>
          <w:tcPr>
            <w:vMerge w:val="continue"/>
            <w:tcBorders>
              <w:top w:val="single" w:color="CBBF9E" w:sz="4"/>
              <w:left w:val="single" w:color="CBBF9E" w:sz="4"/>
              <w:bottom w:val="single" w:color="CBBF9E" w:sz="4"/>
              <w:right w:val="single" w:color="CBBF9E" w:sz="4"/>
            </w:tcBorders>
          </w:tcP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уголовного дела, материала об отказе в возбуждении дела ускоренное досудебное производство</w:t>
            </w: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преступления в уголовном деле</w:t>
            </w: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совершения преступления</w:t>
            </w: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возбуждения уголовного дела, принятия решения по материалу, ускоренное досудебное производство</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Описания события преступления</w:t>
            </w: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преступления в момент регистрации</w:t>
            </w:r>
          </w:p>
        </w:tc>
        <w:tc>
          <w:tcPr>
            <w:tcW w:type="dxa" w:w="8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Окончательная квалификация преступления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способ совершения преступления;</w:t>
            </w:r>
          </w:p>
          <w:p>
            <w:pPr>
              <w:jc w:val="left"/>
            </w:pPr>
            <w:r>
              <w:rPr>
                <w:rFonts w:ascii="Arial" w:cs="Arial" w:eastAsia="Arial" w:hAnsi="Arial"/>
                <w:sz w:val="24"/>
                <w:szCs w:val="24"/>
              </w:rPr>
              <w:t xml:space="preserve">характерные особенности и другие существенные обстоятельства преступления;</w:t>
            </w:r>
          </w:p>
          <w:p>
            <w:pPr>
              <w:jc w:val="left"/>
            </w:pPr>
            <w:r>
              <w:rPr>
                <w:rFonts w:ascii="Arial" w:cs="Arial" w:eastAsia="Arial" w:hAnsi="Arial"/>
                <w:sz w:val="24"/>
                <w:szCs w:val="24"/>
              </w:rPr>
              <w:t xml:space="preserve">фамилии потерпевших;</w:t>
            </w:r>
          </w:p>
          <w:p>
            <w:pPr>
              <w:jc w:val="left"/>
            </w:pPr>
            <w:r>
              <w:rPr>
                <w:rFonts w:ascii="Arial" w:cs="Arial" w:eastAsia="Arial" w:hAnsi="Arial"/>
                <w:sz w:val="24"/>
                <w:szCs w:val="24"/>
              </w:rPr>
              <w:t xml:space="preserve">последствия преступления: число погибших от преступления;</w:t>
            </w:r>
          </w:p>
          <w:p>
            <w:pPr>
              <w:jc w:val="left"/>
            </w:pPr>
            <w:r>
              <w:rPr>
                <w:rFonts w:ascii="Arial" w:cs="Arial" w:eastAsia="Arial" w:hAnsi="Arial"/>
                <w:sz w:val="24"/>
                <w:szCs w:val="24"/>
              </w:rPr>
              <w:t xml:space="preserve">если нанесен ущерб, сумма материального ущерба;</w:t>
            </w:r>
          </w:p>
          <w:p>
            <w:pPr>
              <w:jc w:val="left"/>
            </w:pPr>
            <w:r>
              <w:rPr>
                <w:rFonts w:ascii="Arial" w:cs="Arial" w:eastAsia="Arial" w:hAnsi="Arial"/>
                <w:sz w:val="24"/>
                <w:szCs w:val="24"/>
              </w:rPr>
              <w:t xml:space="preserve">отрасль народного хозяйства, какое ведомство, предприятие, организация и т.д.</w:t>
            </w:r>
          </w:p>
          <w:p>
            <w:pPr>
              <w:jc w:val="left"/>
            </w:pPr>
            <w:r>
              <w:rPr>
                <w:rFonts w:ascii="Arial" w:cs="Arial" w:eastAsia="Arial" w:hAnsi="Arial"/>
                <w:sz w:val="24"/>
                <w:szCs w:val="24"/>
              </w:rPr>
              <w:t xml:space="preserve">оконченное преступление, приготовление, покушение;</w:t>
            </w:r>
          </w:p>
          <w:p>
            <w:pPr>
              <w:jc w:val="left"/>
            </w:pPr>
            <w:r>
              <w:rPr>
                <w:rFonts w:ascii="Arial" w:cs="Arial" w:eastAsia="Arial" w:hAnsi="Arial"/>
                <w:sz w:val="24"/>
                <w:szCs w:val="24"/>
              </w:rPr>
              <w:t xml:space="preserve">кем предотвращено преступление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направлено прокурором в суд в порядке ст.239 УПК Кыргызской Республики, прекращено на основании ст.ст. УПК Кыргызской Республики: пп.1-14 ч.1 ст.28, пп.1-3 ч.1 ст.29, пп. 1, 2 ч.1 ст.225, материал утвержден прокурором в порядке ст.416-4 УПК Кыргызской Республики (протокольная форма)</w:t>
            </w:r>
          </w:p>
        </w:tc>
        <w:tc>
          <w:tcPr>
            <w:vMerge w:val="continue"/>
            <w:tcBorders>
              <w:top w:val="single" w:color="CBBF9E" w:sz="4"/>
              <w:left w:val="none" w:color="auto" w:sz="0"/>
              <w:bottom w:val="single" w:color="CBBF9E" w:sz="4"/>
              <w:right w:val="single" w:color="CBBF9E" w:sz="4"/>
            </w:tcBorders>
          </w:tcPr>
          <w:p/>
        </w:tc>
      </w:tr>
      <w:tr>
        <w:tc>
          <w:tcPr>
            <w:tcW w:type="dxa" w:w="4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6"/>
        <w:gridCol w:w="2125"/>
        <w:gridCol w:w="2135"/>
        <w:gridCol w:w="1704"/>
        <w:gridCol w:w="1160"/>
        <w:gridCol w:w="1128"/>
      </w:tblGrid>
      <w:tr>
        <w:tc>
          <w:tcPr>
            <w:tcW w:type="dxa" w:w="19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лицах, совершивших преступления</w:t>
            </w:r>
          </w:p>
        </w:tc>
        <w:tc>
          <w:tcPr>
            <w:tcW w:type="dxa" w:w="2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вносимые в учетно-регистрационные документы руководителем правоохранительного органа</w:t>
            </w:r>
          </w:p>
        </w:tc>
        <w:tc>
          <w:tcPr>
            <w:tcW w:type="dxa" w:w="21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движении уголовных дел</w:t>
            </w:r>
          </w:p>
        </w:tc>
        <w:tc>
          <w:tcPr>
            <w:tcW w:type="dxa" w:w="17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ущерб и его возмещение</w:t>
            </w:r>
          </w:p>
        </w:tc>
        <w:tc>
          <w:tcPr>
            <w:tcW w:type="dxa" w:w="11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результатах судебного рассмотрения дел</w:t>
            </w:r>
          </w:p>
        </w:tc>
        <w:tc>
          <w:tcPr>
            <w:tcW w:type="dxa" w:w="11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отметки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Фамилия, имя, отчество, год рождения, дня несовершеннолетнего число и месяц, партийность, образование, место работы (учебы), должность, отрасль или ведомство, если не работает и не учится, указать с какого времени, место жительства.</w:t>
            </w:r>
          </w:p>
          <w:p>
            <w:pPr>
              <w:jc w:val="left"/>
            </w:pPr>
            <w:r>
              <w:rPr>
                <w:rFonts w:ascii="Arial" w:cs="Arial" w:eastAsia="Arial" w:hAnsi="Arial"/>
                <w:sz w:val="24"/>
                <w:szCs w:val="24"/>
              </w:rPr>
              <w:t xml:space="preserve">2. Совершил ли преступление в состоянии алкогольного, наркотического опьянения, в группе.</w:t>
            </w:r>
          </w:p>
          <w:p>
            <w:pPr>
              <w:jc w:val="left"/>
            </w:pPr>
            <w:r>
              <w:rPr>
                <w:rFonts w:ascii="Arial" w:cs="Arial" w:eastAsia="Arial" w:hAnsi="Arial"/>
                <w:sz w:val="24"/>
                <w:szCs w:val="24"/>
              </w:rPr>
              <w:t xml:space="preserve">3. Ранее совершал преступления, какие, когда, был несовершеннолетним, освобождался от уголовной ответственности, был осужден и какому виду наказания, был признан особо опасным рецидивистом.</w:t>
            </w:r>
          </w:p>
          <w:p>
            <w:pPr>
              <w:jc w:val="left"/>
            </w:pPr>
            <w:r>
              <w:rPr>
                <w:rFonts w:ascii="Arial" w:cs="Arial" w:eastAsia="Arial" w:hAnsi="Arial"/>
                <w:sz w:val="24"/>
                <w:szCs w:val="24"/>
              </w:rPr>
              <w:t xml:space="preserve">4. Совершил новое преступление после отбытия наказания, в течение 1 года после освобождения из ИТУ, в период нахождения под административным надзором или отбывания наказания.</w:t>
            </w:r>
          </w:p>
          <w:p>
            <w:pPr>
              <w:jc w:val="left"/>
            </w:pPr>
            <w:r>
              <w:rPr>
                <w:rFonts w:ascii="Arial" w:cs="Arial" w:eastAsia="Arial" w:hAnsi="Arial"/>
                <w:sz w:val="24"/>
                <w:szCs w:val="24"/>
              </w:rPr>
              <w:t xml:space="preserve">5. Квалификация преступления</w:t>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Раскрытию преступления и установлению лица, совершившего преступление, способствовало проведение оперативных мероприятий, участие оперативных сотрудников, участковых инспекторов, работников других служб, ПМ, сил общественности, граждан, применение служебно-розыскных собак, химловушек, оперативно-технических средств и т.д.</w:t>
            </w:r>
          </w:p>
          <w:p>
            <w:pPr>
              <w:jc w:val="left"/>
            </w:pPr>
            <w:r>
              <w:rPr>
                <w:rFonts w:ascii="Arial" w:cs="Arial" w:eastAsia="Arial" w:hAnsi="Arial"/>
                <w:sz w:val="24"/>
                <w:szCs w:val="24"/>
              </w:rPr>
              <w:t xml:space="preserve">2. Лицо, совершившее преступление, состояло на учете в оперативном, специальном, в инспекции по делам несовершеннолетних, в психоневрологическом, наркологическом диспансере и др.</w:t>
            </w:r>
          </w:p>
          <w:p>
            <w:pPr>
              <w:jc w:val="left"/>
            </w:pPr>
            <w:r>
              <w:rPr>
                <w:rFonts w:ascii="Arial" w:cs="Arial" w:eastAsia="Arial" w:hAnsi="Arial"/>
                <w:sz w:val="24"/>
                <w:szCs w:val="24"/>
              </w:rPr>
              <w:t xml:space="preserve">Подвергалось мерам административного взыскания - предупреждению, штрафу, исправительным работам, аресту, иным мерам</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Когда и кем возбуждено уголовное дело: направлено по подследственности, соединено с другим делом или выделено из другого дела.</w:t>
            </w:r>
          </w:p>
          <w:p>
            <w:pPr>
              <w:jc w:val="left"/>
            </w:pPr>
            <w:r>
              <w:rPr>
                <w:rFonts w:ascii="Arial" w:cs="Arial" w:eastAsia="Arial" w:hAnsi="Arial"/>
                <w:sz w:val="24"/>
                <w:szCs w:val="24"/>
              </w:rPr>
              <w:t xml:space="preserve">2. Когда и кем дело приостановлено по п.1 ч.1 ст.221 УПК КР.</w:t>
            </w:r>
          </w:p>
          <w:p>
            <w:pPr>
              <w:jc w:val="left"/>
            </w:pPr>
            <w:r>
              <w:rPr>
                <w:rFonts w:ascii="Arial" w:cs="Arial" w:eastAsia="Arial" w:hAnsi="Arial"/>
                <w:sz w:val="24"/>
                <w:szCs w:val="24"/>
              </w:rPr>
              <w:t xml:space="preserve">3. Когда и кем приостановлено по пп. 2, 3, 4 ч.1 ст.221 УПК КР.</w:t>
            </w:r>
          </w:p>
          <w:p>
            <w:pPr>
              <w:jc w:val="left"/>
            </w:pPr>
            <w:r>
              <w:rPr>
                <w:rFonts w:ascii="Arial" w:cs="Arial" w:eastAsia="Arial" w:hAnsi="Arial"/>
                <w:sz w:val="24"/>
                <w:szCs w:val="24"/>
              </w:rPr>
              <w:t xml:space="preserve">4. Когда и кем дело (материал) направлено прокурору для утверждения обвинительного заключения, постановления и направлении дела в суд для применения принудительных мер медицинского характера, постановления о прекращении дела, по нереабилитирующим основаниям, материала с протоколом.</w:t>
            </w:r>
          </w:p>
          <w:p>
            <w:pPr>
              <w:jc w:val="left"/>
            </w:pPr>
            <w:r>
              <w:rPr>
                <w:rFonts w:ascii="Arial" w:cs="Arial" w:eastAsia="Arial" w:hAnsi="Arial"/>
                <w:sz w:val="24"/>
                <w:szCs w:val="24"/>
              </w:rPr>
              <w:t xml:space="preserve">5. Дело прекращено по пп.1, 2 ч.1 ст.28 и п.2 ч.1 ст.225 УП КР.</w:t>
            </w:r>
          </w:p>
          <w:p>
            <w:pPr>
              <w:jc w:val="left"/>
            </w:pPr>
            <w:r>
              <w:rPr>
                <w:rFonts w:ascii="Arial" w:cs="Arial" w:eastAsia="Arial" w:hAnsi="Arial"/>
                <w:sz w:val="24"/>
                <w:szCs w:val="24"/>
              </w:rPr>
              <w:t xml:space="preserve">6. Когда прокурором рассмотрено дело (материал) и какое принято решение.</w:t>
            </w:r>
          </w:p>
          <w:p>
            <w:pPr>
              <w:jc w:val="left"/>
            </w:pPr>
            <w:r>
              <w:rPr>
                <w:rFonts w:ascii="Arial" w:cs="Arial" w:eastAsia="Arial" w:hAnsi="Arial"/>
                <w:sz w:val="24"/>
                <w:szCs w:val="24"/>
              </w:rPr>
              <w:t xml:space="preserve">Прокурор утвердил обвинительное заключение (постановление) по делу либо принял другое решение.</w:t>
            </w:r>
          </w:p>
          <w:p>
            <w:pPr>
              <w:jc w:val="left"/>
            </w:pPr>
            <w:r>
              <w:rPr>
                <w:rFonts w:ascii="Arial" w:cs="Arial" w:eastAsia="Arial" w:hAnsi="Arial"/>
                <w:sz w:val="24"/>
                <w:szCs w:val="24"/>
              </w:rPr>
              <w:t xml:space="preserve">Прокурор возвратил дело для дополнительного расследования, материал с протоколом, для производства дознания и предварительного следствия, отменил постановление о прекращении дела и возобновил по нему производство, отменил постановление об отказе в возбуждении уголовного дела и возбудил уголовное дело. Результат дополнительного расследования</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оконченному делу установлена сумма материального ущерба. На какую сумму наложен арест на имущество. Сумма возмещенного ущерба. Сумма изъятого имущества, денег, ценностей. Изъято: денег, облигаций, валюты, драгоценных металлов и камней, поддельных денег и бумаг, наркотических веществ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едином учете преступлений, уголовных дел и материалов, по которым принято решение об отказе в возбуждении уголовного дела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КОНТРОЛЬНЫЙ ЖУРНАЛ № __________
 учета преступлений, лиц их совершивших, и движения уголовных дел
 ______________________________________________</w:t>
      </w:r>
    </w:p>
    <w:p>
      <w:pPr>
        <w:spacing w:after="120"/>
        <w:jc w:val="left"/>
      </w:pPr>
      <w:r>
        <w:rPr>
          <w:rFonts w:ascii="Arial" w:cs="Arial" w:eastAsia="Arial" w:hAnsi="Arial"/>
          <w:sz w:val="24"/>
          <w:szCs w:val="24"/>
        </w:rPr>
        <w:t xml:space="preserve">Инв. № 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Начат "___" ______________ 20__ г.</w:t>
      </w:r>
      <w:r>
        <w:rPr>
          <w:rFonts w:ascii="Arial" w:cs="Arial" w:eastAsia="Arial" w:hAnsi="Arial"/>
          <w:sz w:val="24"/>
          <w:szCs w:val="24"/>
        </w:rPr>
        <w:t xml:space="preserve">	</w:t>
      </w:r>
      <w:r>
        <w:rPr>
          <w:rFonts w:ascii="Arial" w:cs="Arial" w:eastAsia="Arial" w:hAnsi="Arial"/>
          <w:sz w:val="24"/>
          <w:szCs w:val="24"/>
        </w:rPr>
        <w:t xml:space="preserve">с № 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099"/>
        <w:gridCol w:w="1425"/>
        <w:gridCol w:w="1425"/>
        <w:gridCol w:w="1425"/>
        <w:gridCol w:w="2034"/>
        <w:gridCol w:w="2347"/>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уголовного дела</w:t>
            </w:r>
          </w:p>
        </w:tc>
        <w:tc>
          <w:tcPr>
            <w:tcW w:type="dxa" w:w="42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преступления, статья </w:t>
            </w:r>
            <w:hyperlink w:history="1" r:id="rIdmofyumgdezebndl165b-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линия работы (службы)</w:t>
            </w:r>
          </w:p>
        </w:tc>
        <w:tc>
          <w:tcPr>
            <w:tcW w:type="dxa" w:w="23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дата, место рождения и проживания, лиц, совершивших преступления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совершения преступления</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заявления, сообщения</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возбуждения уголовного дела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1"/>
        <w:gridCol w:w="1201"/>
        <w:gridCol w:w="1757"/>
        <w:gridCol w:w="1708"/>
        <w:gridCol w:w="2971"/>
        <w:gridCol w:w="1340"/>
      </w:tblGrid>
      <w:tr>
        <w:tc>
          <w:tcPr>
            <w:tcW w:type="dxa" w:w="240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Раскрытию преступления способствовало проведение оперативных мероприятий, участие служб ОВД</w:t>
            </w:r>
          </w:p>
        </w:tc>
        <w:tc>
          <w:tcPr>
            <w:tcW w:type="dxa" w:w="1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приостановления уголовного дела производством в связи с неустановлением лиц, подлежащих привлечению в качестве обвиняемого</w:t>
            </w:r>
          </w:p>
        </w:tc>
        <w:tc>
          <w:tcPr>
            <w:tcW w:type="dxa" w:w="2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Движение уголовного дела</w:t>
            </w:r>
          </w:p>
        </w:tc>
        <w:tc>
          <w:tcPr>
            <w:tcW w:type="dxa" w:w="1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судебного рассмотрения</w:t>
            </w:r>
          </w:p>
        </w:tc>
      </w:tr>
      <w:tr>
        <w:tc>
          <w:tcPr>
            <w:tcW w:type="dxa" w:w="1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предъявления обвинения</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Мера пресечения, ее вид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направления:</w:t>
            </w:r>
          </w:p>
          <w:p>
            <w:pPr>
              <w:jc w:val="left"/>
            </w:pPr>
            <w:r>
              <w:rPr>
                <w:rFonts w:ascii="Arial" w:cs="Arial" w:eastAsia="Arial" w:hAnsi="Arial"/>
                <w:sz w:val="24"/>
                <w:szCs w:val="24"/>
              </w:rPr>
              <w:t xml:space="preserve">а) по подследственности;</w:t>
            </w:r>
          </w:p>
          <w:p>
            <w:pPr>
              <w:jc w:val="left"/>
            </w:pPr>
            <w:r>
              <w:rPr>
                <w:rFonts w:ascii="Arial" w:cs="Arial" w:eastAsia="Arial" w:hAnsi="Arial"/>
                <w:sz w:val="24"/>
                <w:szCs w:val="24"/>
              </w:rPr>
              <w:t xml:space="preserve">б) прокурору с обвинительным заключением;</w:t>
            </w:r>
          </w:p>
          <w:p>
            <w:pPr>
              <w:jc w:val="left"/>
            </w:pPr>
            <w:r>
              <w:rPr>
                <w:rFonts w:ascii="Arial" w:cs="Arial" w:eastAsia="Arial" w:hAnsi="Arial"/>
                <w:sz w:val="24"/>
                <w:szCs w:val="24"/>
              </w:rPr>
              <w:t xml:space="preserve">в) приостановлено;</w:t>
            </w:r>
          </w:p>
          <w:p>
            <w:pPr>
              <w:jc w:val="left"/>
            </w:pPr>
            <w:r>
              <w:rPr>
                <w:rFonts w:ascii="Arial" w:cs="Arial" w:eastAsia="Arial" w:hAnsi="Arial"/>
                <w:sz w:val="24"/>
                <w:szCs w:val="24"/>
              </w:rPr>
              <w:t xml:space="preserve">г) прекращено;</w:t>
            </w:r>
          </w:p>
          <w:p>
            <w:pPr>
              <w:jc w:val="left"/>
            </w:pPr>
            <w:r>
              <w:rPr>
                <w:rFonts w:ascii="Arial" w:cs="Arial" w:eastAsia="Arial" w:hAnsi="Arial"/>
                <w:sz w:val="24"/>
                <w:szCs w:val="24"/>
              </w:rPr>
              <w:t xml:space="preserve">д) возвращено для восполнения пробелов следствия;</w:t>
            </w:r>
          </w:p>
          <w:p>
            <w:pPr>
              <w:jc w:val="left"/>
            </w:pPr>
            <w:r>
              <w:rPr>
                <w:rFonts w:ascii="Arial" w:cs="Arial" w:eastAsia="Arial" w:hAnsi="Arial"/>
                <w:sz w:val="24"/>
                <w:szCs w:val="24"/>
              </w:rPr>
              <w:t xml:space="preserve">ж) возобновлено следствием</w:t>
            </w:r>
          </w:p>
        </w:tc>
        <w:tc>
          <w:tcPr>
            <w:vMerge w:val="continue"/>
            <w:tcBorders>
              <w:top w:val="single" w:color="CBBF9E" w:sz="4"/>
              <w:left w:val="none" w:color="auto" w:sz="0"/>
              <w:bottom w:val="single" w:color="CBBF9E" w:sz="4"/>
              <w:right w:val="single" w:color="CBBF9E" w:sz="4"/>
            </w:tcBorders>
          </w:tcPr>
          <w:p/>
        </w:tc>
      </w:tr>
      <w:tr>
        <w:tc>
          <w:tcPr>
            <w:tcW w:type="dxa" w:w="1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едином учете преступлений, уголовных дел и материалов, по которым принято решение об отказе в возбуждении уголовного дела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ЖУРНАЛ № _________
 учета материалов, по которым вынесены постановления об отказе в возбуждении уголовного дела
 ______________________________________________</w:t>
      </w:r>
    </w:p>
    <w:p>
      <w:pPr>
        <w:spacing w:after="120"/>
        <w:jc w:val="both"/>
      </w:pPr>
      <w:r>
        <w:rPr>
          <w:rFonts w:ascii="Arial" w:cs="Arial" w:eastAsia="Arial" w:hAnsi="Arial"/>
          <w:sz w:val="24"/>
          <w:szCs w:val="24"/>
        </w:rPr>
        <w:t xml:space="preserve">Инв. № 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НАЧАТ</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tabs>
          <w:tab w:val="right" w:pos="10178"/>
        </w:tabs>
        <w:spacing w:after="120"/>
      </w:pPr>
      <w:r>
        <w:rPr>
          <w:rFonts w:ascii="Arial" w:cs="Arial" w:eastAsia="Arial" w:hAnsi="Arial"/>
          <w:sz w:val="24"/>
          <w:szCs w:val="24"/>
        </w:rPr>
        <w:t xml:space="preserve">ОКОНЧЕН</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2023"/>
        <w:gridCol w:w="2349"/>
        <w:gridCol w:w="2988"/>
        <w:gridCol w:w="2390"/>
      </w:tblGrid>
      <w:tr>
        <w:tc>
          <w:tcPr>
            <w:tcW w:type="dxa" w:w="4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 по книге учета заявлений и сообщений о преступлениях</w:t>
            </w:r>
          </w:p>
        </w:tc>
        <w:tc>
          <w:tcPr>
            <w:tcW w:type="dxa" w:w="23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вынесения постановления об отказе в возбуждении уголовного дела</w:t>
            </w:r>
          </w:p>
        </w:tc>
        <w:tc>
          <w:tcPr>
            <w:tcW w:type="dxa" w:w="2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заявителя, наименование учреждения, предприятия, организации, откуда поступило заявление (сообщение)</w:t>
            </w:r>
          </w:p>
        </w:tc>
        <w:tc>
          <w:tcPr>
            <w:tcW w:type="dxa" w:w="23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события</w:t>
            </w:r>
          </w:p>
        </w:tc>
      </w:tr>
      <w:tr>
        <w:tc>
          <w:tcPr>
            <w:tcW w:type="dxa" w:w="4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9"/>
        <w:gridCol w:w="1793"/>
        <w:gridCol w:w="1818"/>
        <w:gridCol w:w="2129"/>
        <w:gridCol w:w="2889"/>
      </w:tblGrid>
      <w:tr>
        <w:tc>
          <w:tcPr>
            <w:tcW w:type="dxa" w:w="15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Мотивы отказа со ссылкой на ст.УПК Кыргызской Республики</w:t>
            </w:r>
          </w:p>
        </w:tc>
        <w:tc>
          <w:tcPr>
            <w:tcW w:type="dxa" w:w="17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вынесено постановление (фамилия, инициалы и должность)</w:t>
            </w:r>
          </w:p>
        </w:tc>
        <w:tc>
          <w:tcPr>
            <w:tcW w:type="dxa" w:w="1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утверждено постановление (фамилия, инициалы и должность)</w:t>
            </w:r>
          </w:p>
        </w:tc>
        <w:tc>
          <w:tcPr>
            <w:tcW w:type="dxa" w:w="21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рассмотренные в срок свыше установленного по УПК Кыргызской Республики</w:t>
            </w:r>
          </w:p>
        </w:tc>
        <w:tc>
          <w:tcPr>
            <w:tcW w:type="dxa" w:w="2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Движение материалов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отменено, возбуждено уголовное дело № ____; направлено с указанием №№ листа, дела, где хранится сопроводительное письмо</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xmwyexevemneudqy9kj">
      <w:r>
        <w:rPr>
          <w:rFonts w:ascii="Arial" w:cs="Arial" w:eastAsia="Arial" w:hAnsi="Arial"/>
          <w:color w:val="132D3F"/>
          <w:sz w:val="16"/>
          <w:szCs w:val="16"/>
          <w:u w:val="single"/>
        </w:rPr>
        <w:t xml:space="preserve">dalil.kg/document/12076</w:t>
      </w:r>
    </w:hyperlink>
  </w:p>
  <w:p>
    <w:pPr>
      <w:spacing w:after="0" w:before="40"/>
      <w:jc w:val="center"/>
    </w:pPr>
    <w:hyperlink w:history="1" r:id="rIdiyrxcqkcwe1b18evuyg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8yn6rqnbaoe_-vinfr2" Type="http://schemas.openxmlformats.org/officeDocument/2006/relationships/hyperlink" Target="https://dalil.kg/document/12074" TargetMode="External"/><Relationship Id="rIde6irbvp1hcl_qxmec8aqt" Type="http://schemas.openxmlformats.org/officeDocument/2006/relationships/hyperlink" Target="https://dalil.kg/document/9" TargetMode="External"/><Relationship Id="rIdiesdaa9e7sqjrkx0xwnkw" Type="http://schemas.openxmlformats.org/officeDocument/2006/relationships/hyperlink" Target="https://dalil.kg/document/9" TargetMode="External"/><Relationship Id="rIdcdi-nox_dcr9muode2wpk" Type="http://schemas.openxmlformats.org/officeDocument/2006/relationships/hyperlink" Target="https://dalil.kg/document/9" TargetMode="External"/><Relationship Id="rIdrxfjhe3bxmpbptlslhclm" Type="http://schemas.openxmlformats.org/officeDocument/2006/relationships/hyperlink" Target="https://dalil.kg/document/9" TargetMode="External"/><Relationship Id="rId0cs5aw6qf56ydtmlmfp6u" Type="http://schemas.openxmlformats.org/officeDocument/2006/relationships/hyperlink" Target="https://dalil.kg/document/9" TargetMode="External"/><Relationship Id="rIde68malpxee3xfwlbim238" Type="http://schemas.openxmlformats.org/officeDocument/2006/relationships/hyperlink" Target="https://dalil.kg/document/9" TargetMode="External"/><Relationship Id="rIdkigny1fywotfglpbnkqge" Type="http://schemas.openxmlformats.org/officeDocument/2006/relationships/hyperlink" Target="https://dalil.kg/document/9" TargetMode="External"/><Relationship Id="rIdwzezkg5zlw_tczqtxswiq" Type="http://schemas.openxmlformats.org/officeDocument/2006/relationships/hyperlink" Target="https://dalil.kg/document/568" TargetMode="External"/><Relationship Id="rIdzq_5qiz3_idfdmldysbqh" Type="http://schemas.openxmlformats.org/officeDocument/2006/relationships/hyperlink" Target="https://dalil.kg/document/9" TargetMode="External"/><Relationship Id="rIdrcjszwbmhrils2g4tsu0p" Type="http://schemas.openxmlformats.org/officeDocument/2006/relationships/hyperlink" Target="https://dalil.kg/document/9" TargetMode="External"/><Relationship Id="rId7ad90bodj6soahj8qe9n8" Type="http://schemas.openxmlformats.org/officeDocument/2006/relationships/hyperlink" Target="https://dalil.kg/document/568" TargetMode="External"/><Relationship Id="rIdctb6kdhw2n6nd672ua0yr" Type="http://schemas.openxmlformats.org/officeDocument/2006/relationships/hyperlink" Target="https://dalil.kg/document/9" TargetMode="External"/><Relationship Id="rIdoicyqd1syo-gd_ftoyin6" Type="http://schemas.openxmlformats.org/officeDocument/2006/relationships/hyperlink" Target="https://dalil.kg/document/9" TargetMode="External"/><Relationship Id="rIdo6d0leg2fm44frg3dmwl8" Type="http://schemas.openxmlformats.org/officeDocument/2006/relationships/hyperlink" Target="https://dalil.kg/document/9" TargetMode="External"/><Relationship Id="rIdq2iby3k_pki9gs7fssjvf" Type="http://schemas.openxmlformats.org/officeDocument/2006/relationships/hyperlink" Target="https://dalil.kg/document/9" TargetMode="External"/><Relationship Id="rIdlnxreftesgxxpq4vpnb-g" Type="http://schemas.openxmlformats.org/officeDocument/2006/relationships/hyperlink" Target="https://dalil.kg/document/9" TargetMode="External"/><Relationship Id="rIdo1jedenxtvlglyedpej5d" Type="http://schemas.openxmlformats.org/officeDocument/2006/relationships/hyperlink" Target="https://dalil.kg/document/9" TargetMode="External"/><Relationship Id="rIdlewcnkoipdqln5cxwiq4e" Type="http://schemas.openxmlformats.org/officeDocument/2006/relationships/hyperlink" Target="https://dalil.kg/document/9" TargetMode="External"/><Relationship Id="rIdd-nflf2vehmwfc5cqhhk1" Type="http://schemas.openxmlformats.org/officeDocument/2006/relationships/hyperlink" Target="https://dalil.kg/document/9" TargetMode="External"/><Relationship Id="rIdpqyv85wl--isbgmws-y8k" Type="http://schemas.openxmlformats.org/officeDocument/2006/relationships/hyperlink" Target="https://dalil.kg/document/9" TargetMode="External"/><Relationship Id="rIdb0rziqplc5aqrm8otiehy" Type="http://schemas.openxmlformats.org/officeDocument/2006/relationships/hyperlink" Target="https://dalil.kg/document/9" TargetMode="External"/><Relationship Id="rIdoqedped1oetgzmxrpt_0p" Type="http://schemas.openxmlformats.org/officeDocument/2006/relationships/hyperlink" Target="https://dalil.kg/document/9" TargetMode="External"/><Relationship Id="rIdkcpat9k0amse1ploqblal" Type="http://schemas.openxmlformats.org/officeDocument/2006/relationships/hyperlink" Target="https://dalil.kg/document/9" TargetMode="External"/><Relationship Id="rIdutict83knpjbxsma4fdbt" Type="http://schemas.openxmlformats.org/officeDocument/2006/relationships/hyperlink" Target="https://dalil.kg/document/9" TargetMode="External"/><Relationship Id="rIdz-ix49mxdmvcyan_y49t4" Type="http://schemas.openxmlformats.org/officeDocument/2006/relationships/hyperlink" Target="https://dalil.kg/document/568" TargetMode="External"/><Relationship Id="rIdrih5jx69yppcw7m7y05gv" Type="http://schemas.openxmlformats.org/officeDocument/2006/relationships/hyperlink" Target="https://dalil.kg/document/568" TargetMode="External"/><Relationship Id="rIduk1cup6et7meqi6wve9xa" Type="http://schemas.openxmlformats.org/officeDocument/2006/relationships/hyperlink" Target="https://dalil.kg/document/568" TargetMode="External"/><Relationship Id="rIdf5gvdv2qvcky-2eki-knr" Type="http://schemas.openxmlformats.org/officeDocument/2006/relationships/hyperlink" Target="https://dalil.kg/document/568" TargetMode="External"/><Relationship Id="rId-jp-rhyiyfobs0qwijr1_" Type="http://schemas.openxmlformats.org/officeDocument/2006/relationships/hyperlink" Target="https://dalil.kg/document/568" TargetMode="External"/><Relationship Id="rId00mq68gwhhwnyacmvs8nu" Type="http://schemas.openxmlformats.org/officeDocument/2006/relationships/hyperlink" Target="https://dalil.kg/document/9" TargetMode="External"/><Relationship Id="rIdpnvx0ima-zszkazeowy2p" Type="http://schemas.openxmlformats.org/officeDocument/2006/relationships/hyperlink" Target="https://dalil.kg/document/9" TargetMode="External"/><Relationship Id="rIdssq4r3cyuht_ccmh2g9aa" Type="http://schemas.openxmlformats.org/officeDocument/2006/relationships/hyperlink" Target="https://dalil.kg/document/9" TargetMode="External"/><Relationship Id="rId7pzig_bizfcpcdnjqi3j5" Type="http://schemas.openxmlformats.org/officeDocument/2006/relationships/hyperlink" Target="https://dalil.kg/document/9" TargetMode="External"/><Relationship Id="rIdlxqt6lwzuqpxicky3khac" Type="http://schemas.openxmlformats.org/officeDocument/2006/relationships/hyperlink" Target="https://dalil.kg/document/9" TargetMode="External"/><Relationship Id="rId9nzoojzcjn3jtvkgungmh" Type="http://schemas.openxmlformats.org/officeDocument/2006/relationships/hyperlink" Target="https://dalil.kg/document/9" TargetMode="External"/><Relationship Id="rIddsis65d7lymfzwrk0wvuw" Type="http://schemas.openxmlformats.org/officeDocument/2006/relationships/hyperlink" Target="https://dalil.kg/document/9" TargetMode="External"/><Relationship Id="rId6_evbpjqihjm9kebjs-fv" Type="http://schemas.openxmlformats.org/officeDocument/2006/relationships/hyperlink" Target="https://dalil.kg/document/9" TargetMode="External"/><Relationship Id="rIdzh8cgc-uaoc5wjuzakfer" Type="http://schemas.openxmlformats.org/officeDocument/2006/relationships/hyperlink" Target="https://dalil.kg/document/9" TargetMode="External"/><Relationship Id="rId3ijuzovwxy_vimc2zdprc" Type="http://schemas.openxmlformats.org/officeDocument/2006/relationships/hyperlink" Target="https://dalil.kg/document/568" TargetMode="External"/><Relationship Id="rId16ud8xuocn71jxu3gmlba" Type="http://schemas.openxmlformats.org/officeDocument/2006/relationships/hyperlink" Target="https://dalil.kg/document/9" TargetMode="External"/><Relationship Id="rIdjhhgen_xl7mhq2u4sfiwg" Type="http://schemas.openxmlformats.org/officeDocument/2006/relationships/hyperlink" Target="https://dalil.kg/document/9" TargetMode="External"/><Relationship Id="rIdjrbgz7t1kehrhlou3_y3y" Type="http://schemas.openxmlformats.org/officeDocument/2006/relationships/hyperlink" Target="https://dalil.kg/document/568" TargetMode="External"/><Relationship Id="rIdaqznpnnou66o_sla6jj1z" Type="http://schemas.openxmlformats.org/officeDocument/2006/relationships/hyperlink" Target="https://dalil.kg/document/568" TargetMode="External"/><Relationship Id="rId46muhmi1tp0mke69wbkf7" Type="http://schemas.openxmlformats.org/officeDocument/2006/relationships/hyperlink" Target="https://dalil.kg/document/9" TargetMode="External"/><Relationship Id="rId990xk_1xbsj4tj9abgjbw" Type="http://schemas.openxmlformats.org/officeDocument/2006/relationships/hyperlink" Target="https://dalil.kg/document/9" TargetMode="External"/><Relationship Id="rIdjblrfscvmomcn1tgzitg9" Type="http://schemas.openxmlformats.org/officeDocument/2006/relationships/hyperlink" Target="https://dalil.kg/document/568" TargetMode="External"/><Relationship Id="rIddklltgnkdtvtq5rd67zg2" Type="http://schemas.openxmlformats.org/officeDocument/2006/relationships/hyperlink" Target="https://dalil.kg/document/568" TargetMode="External"/><Relationship Id="rIdmhlaypbulf7lm6gj11zuv" Type="http://schemas.openxmlformats.org/officeDocument/2006/relationships/hyperlink" Target="https://dalil.kg/document/9" TargetMode="External"/><Relationship Id="rId4guolfvgvbb4fwzf_tpcv" Type="http://schemas.openxmlformats.org/officeDocument/2006/relationships/hyperlink" Target="https://dalil.kg/document/9" TargetMode="External"/><Relationship Id="rIdy4fmnnzoodwxzhrjxr5ot" Type="http://schemas.openxmlformats.org/officeDocument/2006/relationships/hyperlink" Target="https://dalil.kg/document/9" TargetMode="External"/><Relationship Id="rIdmofyumgdezebndl165b-p"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xmwyexevemneudqy9kj" Type="http://schemas.openxmlformats.org/officeDocument/2006/relationships/hyperlink" Target="https://dalil.kg/document/12076" TargetMode="External"/><Relationship Id="rIdiyrxcqkcwe1b18evuyg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2026-10-03T02:21:22.973Z</dcterms:created>
  <dcterms:modified xsi:type="dcterms:W3CDTF">2026-10-03T02:21:22.973Z</dcterms:modified>
</cp:coreProperties>
</file>

<file path=docProps/custom.xml><?xml version="1.0" encoding="utf-8"?>
<Properties xmlns="http://schemas.openxmlformats.org/officeDocument/2006/custom-properties" xmlns:vt="http://schemas.openxmlformats.org/officeDocument/2006/docPropsVTypes"/>
</file>