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ijigddgqje2n35psmnj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индексации пенсий, назначенных в соответствии с Законом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9zq6hdeyzv6bt-cv6jp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индексации пенсий, назначенных в соответствии с </w:t>
      </w:r>
      <w:hyperlink w:history="1" r:id="rIdd35ql51fenmwvf7j83rp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определяет механизм индексации базовой и страховых частей пенсии.</w:t>
      </w:r>
    </w:p>
    <w:p>
      <w:pPr>
        <w:spacing w:after="60"/>
        <w:ind w:firstLine="567"/>
        <w:jc w:val="both"/>
      </w:pPr>
      <w:r>
        <w:rPr>
          <w:rFonts w:ascii="Arial" w:cs="Arial" w:eastAsia="Arial" w:hAnsi="Arial"/>
          <w:sz w:val="24"/>
          <w:szCs w:val="24"/>
        </w:rPr>
        <w:t xml:space="preserve">2. Цель индексации пенсии - поддержание покупательной способности пенсий в связи с ростом индекса потребительских цен и средней заработной платы,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3. Показатели прожиточного минимума пенсионера, индекса потребительских цен в процентах к предыдущему году и среднемесячной заработной платы - это сформированные и опубликованные Национальным статистическим комитетом Кыргызской Республики показатели, сложившиеся за предыдущий календарный год.</w:t>
      </w:r>
    </w:p>
    <w:p>
      <w:pPr>
        <w:spacing w:after="60"/>
        <w:ind w:firstLine="567"/>
        <w:jc w:val="both"/>
      </w:pPr>
      <w:r>
        <w:rPr>
          <w:rFonts w:ascii="Arial" w:cs="Arial" w:eastAsia="Arial" w:hAnsi="Arial"/>
          <w:sz w:val="24"/>
          <w:szCs w:val="24"/>
        </w:rPr>
        <w:t xml:space="preserve">4. Общая пенсия по государственному пенсионному социальному страхованию состоит из солидарной (базовой и страховых пенсий) и накопительной частей, кроме пенсии по случаю потери кормильца, которая состоит из базовой и страховых частей пенсии.</w:t>
      </w:r>
    </w:p>
    <w:p>
      <w:pPr>
        <w:spacing w:after="60"/>
        <w:ind w:firstLine="567"/>
        <w:jc w:val="both"/>
      </w:pPr>
      <w:r>
        <w:rPr>
          <w:rFonts w:ascii="Arial" w:cs="Arial" w:eastAsia="Arial" w:hAnsi="Arial"/>
          <w:sz w:val="24"/>
          <w:szCs w:val="24"/>
        </w:rPr>
        <w:t xml:space="preserve">5. Общий размер пенсии определяется без учета надбавок, установленных в соответствии со </w:t>
      </w:r>
      <w:r>
        <w:rPr>
          <w:rFonts w:ascii="Arial" w:cs="Arial" w:eastAsia="Arial" w:hAnsi="Arial"/>
          <w:sz w:val="24"/>
          <w:szCs w:val="24"/>
        </w:rPr>
        <w:t xml:space="preserve">статьей 13</w:t>
      </w:r>
      <w:hyperlink w:history="1" r:id="rIdfnqbyfxtobculusxlrj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компенсационных выплат.</w:t>
      </w:r>
    </w:p>
    <w:p>
      <w:pPr>
        <w:spacing w:after="60"/>
        <w:ind w:firstLine="567"/>
        <w:jc w:val="both"/>
      </w:pPr>
      <w:r>
        <w:rPr>
          <w:rFonts w:ascii="Arial" w:cs="Arial" w:eastAsia="Arial" w:hAnsi="Arial"/>
          <w:sz w:val="24"/>
          <w:szCs w:val="24"/>
        </w:rPr>
        <w:t xml:space="preserve">6. Индексации базовой и страховых частей пенсии проводятся ежегодно путем принятия постановлений Кабинета Министров Кыргызской Республики,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mlovzlroar7vkm7fvkee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7. Источником финансирования индексации базовой части пенсии являются ассигнования из республиканского бюджета. Источником финансирования индексации страховых частей пенсии являются средства бюджета Пенсионного фонда. Источником финансирования индексации базовой части пенсии и страховой части пенсии СП1 лицам, получающим пенсии по Списку № 2, работникам текстильных производств и за особые условия труда, являются средства работодателя.</w:t>
      </w:r>
    </w:p>
    <w:p>
      <w:pPr>
        <w:spacing w:after="60"/>
        <w:ind w:firstLine="567"/>
        <w:jc w:val="both"/>
      </w:pPr>
      <w:r>
        <w:rPr>
          <w:rFonts w:ascii="Arial" w:cs="Arial" w:eastAsia="Arial" w:hAnsi="Arial"/>
          <w:sz w:val="24"/>
          <w:szCs w:val="24"/>
        </w:rPr>
        <w:t xml:space="preserve">8. Если индексация базовой и страховых частей пенсии проводятся одновременно, то сначала производится индексация базовой части пенсии, затем производится индексация страховых частей пенсии.</w:t>
      </w:r>
    </w:p>
    <w:p>
      <w:pPr>
        <w:spacing w:after="200" w:before="200"/>
        <w:jc w:val="center"/>
      </w:pPr>
      <w:r>
        <w:rPr>
          <w:rFonts w:ascii="Arial" w:cs="Arial" w:eastAsia="Arial" w:hAnsi="Arial"/>
          <w:b/>
          <w:bCs/>
          <w:sz w:val="24"/>
          <w:szCs w:val="24"/>
        </w:rPr>
        <w:t xml:space="preserve">2. Индексация базовой части пенсии</w:t>
      </w:r>
    </w:p>
    <w:p>
      <w:pPr>
        <w:spacing w:after="60"/>
        <w:ind w:firstLine="567"/>
        <w:jc w:val="both"/>
      </w:pPr>
      <w:r>
        <w:rPr>
          <w:rFonts w:ascii="Arial" w:cs="Arial" w:eastAsia="Arial" w:hAnsi="Arial"/>
          <w:sz w:val="24"/>
          <w:szCs w:val="24"/>
        </w:rPr>
        <w:t xml:space="preserve">9. 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w:t>
      </w:r>
    </w:p>
    <w:p>
      <w:pPr>
        <w:spacing w:after="60"/>
        <w:ind w:firstLine="567"/>
        <w:jc w:val="both"/>
      </w:pPr>
      <w:r>
        <w:rPr>
          <w:rFonts w:ascii="Arial" w:cs="Arial" w:eastAsia="Arial" w:hAnsi="Arial"/>
          <w:sz w:val="24"/>
          <w:szCs w:val="24"/>
        </w:rPr>
        <w:t xml:space="preserve">10. Индексации подлежит базовая часть пенсий, назначенных в соответствии с </w:t>
      </w:r>
      <w:hyperlink w:history="1" r:id="rId1guqmu_totyrb3frszsc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момент принятия постановления Кабинета Министров Кыргызской Республики о проведении индексации базовой части пенсии.</w:t>
      </w:r>
    </w:p>
    <w:p>
      <w:pPr>
        <w:spacing w:after="60"/>
        <w:ind w:firstLine="567"/>
        <w:jc w:val="both"/>
      </w:pPr>
      <w:r>
        <w:rPr>
          <w:rFonts w:ascii="Arial" w:cs="Arial" w:eastAsia="Arial" w:hAnsi="Arial"/>
          <w:i/>
          <w:iCs/>
          <w:sz w:val="24"/>
          <w:szCs w:val="24"/>
        </w:rPr>
        <w:t xml:space="preserve">(В редакции </w:t>
      </w:r>
      <w:hyperlink w:history="1" r:id="rId0msfkhwdzqnrg6fuo-ac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11.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12. Базовая часть пенсии не индексируется, если общий размер пенсии равен или больше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13. Базовая часть пенсии с учетом индексации составляет произведение величины базовой части пенсии пенсионера, сложившейся за предыдущий год, предшествующий индексации на рост средней заработной платы предыдущего года, предшествующего индексации в процентном выражении, с округлением до целого числа.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w:t>
      </w:r>
      <w:r>
        <w:rPr>
          <w:rFonts w:ascii="Arial" w:cs="Arial" w:eastAsia="Arial" w:hAnsi="Arial"/>
          <w:sz w:val="24"/>
          <w:szCs w:val="24"/>
        </w:rPr>
        <w:t xml:space="preserve">пред. года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рост</w:t>
      </w:r>
      <w:r>
        <w:rPr>
          <w:rFonts w:ascii="Arial" w:cs="Arial" w:eastAsia="Arial" w:hAnsi="Arial"/>
          <w:sz w:val="24"/>
          <w:szCs w:val="24"/>
        </w:rPr>
        <w:t xml:space="preserve">СМЗ%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Базовая часть пенсии с учетом индексации на соответствующий год, с округлением до целого числа;</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пред. года</w:t>
      </w:r>
      <w:r>
        <w:rPr>
          <w:rFonts w:ascii="Arial" w:cs="Arial" w:eastAsia="Arial" w:hAnsi="Arial"/>
          <w:sz w:val="24"/>
          <w:szCs w:val="24"/>
        </w:rPr>
        <w:t xml:space="preserve"> - величина базовой части пенсии пенсионера, сложившаяся за предыдущий год, предшествующий индексации;</w:t>
      </w:r>
    </w:p>
    <w:p>
      <w:pPr>
        <w:spacing w:after="60"/>
        <w:ind w:firstLine="567"/>
        <w:jc w:val="both"/>
      </w:pPr>
      <w:r>
        <w:rPr>
          <w:rFonts w:ascii="Arial" w:cs="Arial" w:eastAsia="Arial" w:hAnsi="Arial"/>
          <w:sz w:val="24"/>
          <w:szCs w:val="24"/>
        </w:rPr>
        <w:t xml:space="preserve">рост</w:t>
      </w:r>
      <w:r>
        <w:rPr>
          <w:rFonts w:ascii="Arial" w:cs="Arial" w:eastAsia="Arial" w:hAnsi="Arial"/>
          <w:sz w:val="24"/>
          <w:szCs w:val="24"/>
        </w:rPr>
        <w:t xml:space="preserve">СМЗ% - рост средней заработной платы предыдущего года, предшествующего индексации в процентном выражении.</w:t>
      </w:r>
    </w:p>
    <w:p>
      <w:pPr>
        <w:spacing w:after="60"/>
        <w:ind w:firstLine="567"/>
        <w:jc w:val="both"/>
      </w:pPr>
      <w:r>
        <w:rPr>
          <w:rFonts w:ascii="Arial" w:cs="Arial" w:eastAsia="Arial" w:hAnsi="Arial"/>
          <w:sz w:val="24"/>
          <w:szCs w:val="24"/>
        </w:rPr>
        <w:t xml:space="preserve">Пример расчета базовой части пенсии с учетом индексации на 2018 год приведен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1780 </w:t>
            </w:r>
            <w:r>
              <w:rPr>
                <w:rFonts w:ascii="Arial" w:cs="Arial" w:eastAsia="Arial" w:hAnsi="Arial"/>
                <w:sz w:val="24"/>
                <w:szCs w:val="24"/>
              </w:rPr>
              <w:t xml:space="preserve">⨯</w:t>
            </w:r>
            <w:r>
              <w:rPr>
                <w:rFonts w:ascii="Arial" w:cs="Arial" w:eastAsia="Arial" w:hAnsi="Arial"/>
                <w:sz w:val="24"/>
                <w:szCs w:val="24"/>
              </w:rPr>
              <w:t xml:space="preserve"> 103,7% = 1846 сомов</w:t>
            </w:r>
          </w:p>
          <w:p>
            <w:pPr>
              <w:jc w:val="left"/>
            </w:pPr>
            <w:r>
              <w:rPr>
                <w:rFonts w:ascii="Arial" w:cs="Arial" w:eastAsia="Arial" w:hAnsi="Arial"/>
                <w:sz w:val="24"/>
                <w:szCs w:val="24"/>
              </w:rPr>
              <w:t xml:space="preserve">где:</w:t>
            </w:r>
          </w:p>
          <w:p>
            <w:pPr>
              <w:jc w:val="left"/>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базовая часть пенсии с учетом индексации на 2018 год;</w:t>
            </w:r>
          </w:p>
          <w:p>
            <w:pPr>
              <w:jc w:val="left"/>
            </w:pPr>
            <w:r>
              <w:rPr>
                <w:rFonts w:ascii="Arial" w:cs="Arial" w:eastAsia="Arial" w:hAnsi="Arial"/>
                <w:sz w:val="24"/>
                <w:szCs w:val="24"/>
              </w:rPr>
              <w:t xml:space="preserve">1780 - величина базовой части пенсии пенсионера в 2017 году;</w:t>
            </w:r>
          </w:p>
          <w:p>
            <w:pPr>
              <w:jc w:val="left"/>
            </w:pPr>
            <w:r>
              <w:rPr>
                <w:rFonts w:ascii="Arial" w:cs="Arial" w:eastAsia="Arial" w:hAnsi="Arial"/>
                <w:sz w:val="24"/>
                <w:szCs w:val="24"/>
              </w:rPr>
              <w:t xml:space="preserve">103,7% - рост средней заработной платы 2017 года к средней заработной плате 2016 года в процентах.</w:t>
            </w:r>
          </w:p>
        </w:tc>
      </w:tr>
    </w:tbl>
    <w:p>
      <w:pPr>
        <w:spacing w:after="60" w:before="120"/>
        <w:ind w:firstLine="567"/>
        <w:jc w:val="both"/>
      </w:pPr>
      <w:r>
        <w:rPr>
          <w:rFonts w:ascii="Arial" w:cs="Arial" w:eastAsia="Arial" w:hAnsi="Arial"/>
          <w:sz w:val="24"/>
          <w:szCs w:val="24"/>
        </w:rPr>
        <w:t xml:space="preserve">14. Лицам, получающим пенсии по инвалидности I группы, исчисленных в соответствии с пунктом 4 </w:t>
      </w:r>
      <w:r>
        <w:rPr>
          <w:rFonts w:ascii="Arial" w:cs="Arial" w:eastAsia="Arial" w:hAnsi="Arial"/>
          <w:sz w:val="24"/>
          <w:szCs w:val="24"/>
        </w:rPr>
        <w:t xml:space="preserve">статьи 17</w:t>
      </w:r>
      <w:hyperlink w:history="1" r:id="rIdmhbtf5hjwmh1k0anwrh7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базовая часть пенсии индексируется на рост средней заработной платы предыдущего года, предшествующего индексации, в процентном выражении, за исключением лиц, общий размер пенсий которых равен или превышает прожиточный минимум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15. При изменении группы инвалидности, в целях индексации базовой части пенсии размер общей пенсии пересматривается согласно </w:t>
      </w:r>
      <w:r>
        <w:rPr>
          <w:rFonts w:ascii="Arial" w:cs="Arial" w:eastAsia="Arial" w:hAnsi="Arial"/>
          <w:sz w:val="24"/>
          <w:szCs w:val="24"/>
        </w:rPr>
        <w:t xml:space="preserve">статье 17</w:t>
      </w:r>
      <w:r>
        <w:rPr>
          <w:rFonts w:ascii="Arial" w:cs="Arial" w:eastAsia="Arial" w:hAnsi="Arial"/>
          <w:sz w:val="24"/>
          <w:szCs w:val="24"/>
        </w:rPr>
        <w:t xml:space="preserve"> Закона Кыргызской Республики "О государственном пенсионном социальном страховании" в соответствии со сроками, установленными пунктом 3 </w:t>
      </w:r>
      <w:r>
        <w:rPr>
          <w:rFonts w:ascii="Arial" w:cs="Arial" w:eastAsia="Arial" w:hAnsi="Arial"/>
          <w:sz w:val="24"/>
          <w:szCs w:val="24"/>
        </w:rPr>
        <w:t xml:space="preserve">статьи 26-1</w:t>
      </w:r>
      <w:r>
        <w:rPr>
          <w:rFonts w:ascii="Arial" w:cs="Arial" w:eastAsia="Arial" w:hAnsi="Arial"/>
          <w:sz w:val="24"/>
          <w:szCs w:val="24"/>
        </w:rPr>
        <w:t xml:space="preserve"> данного Закона.</w:t>
      </w:r>
    </w:p>
    <w:p>
      <w:pPr>
        <w:spacing w:after="60"/>
        <w:ind w:firstLine="567"/>
        <w:jc w:val="both"/>
      </w:pPr>
      <w:r>
        <w:rPr>
          <w:rFonts w:ascii="Arial" w:cs="Arial" w:eastAsia="Arial" w:hAnsi="Arial"/>
          <w:sz w:val="24"/>
          <w:szCs w:val="24"/>
        </w:rPr>
        <w:t xml:space="preserve">16. Для последующих пенсий, общий размер которых ниже величины прожиточного минимума пенсионера, фактически сложившейся за предыдущий календарный год, базовая часть пенсии индексируется на рост средней заработной платы предыдущего года, предшествующего индексации, в процентном выражении:</w:t>
      </w:r>
    </w:p>
    <w:p>
      <w:pPr>
        <w:spacing w:after="60"/>
        <w:ind w:firstLine="567"/>
        <w:jc w:val="both"/>
      </w:pPr>
      <w:r>
        <w:rPr>
          <w:rFonts w:ascii="Arial" w:cs="Arial" w:eastAsia="Arial" w:hAnsi="Arial"/>
          <w:sz w:val="24"/>
          <w:szCs w:val="24"/>
        </w:rPr>
        <w:t xml:space="preserve">- пенсий при неполном страховом стаже, исчисленных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пенсий по инвалидности II и III групп, исчисленных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пенсий по случаю потери кормильца, исчисленных в соответствии со </w:t>
      </w:r>
      <w:r>
        <w:rPr>
          <w:rFonts w:ascii="Arial" w:cs="Arial" w:eastAsia="Arial" w:hAnsi="Arial"/>
          <w:sz w:val="24"/>
          <w:szCs w:val="24"/>
        </w:rPr>
        <w:t xml:space="preserve">статьей 19</w:t>
      </w:r>
      <w:hyperlink w:history="1" r:id="rIdsalgon7ttl5f1wyyr8u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17. Детям, получающим пенсии по случаю потери кормильца, потерявшим обоих родителей, исчисленных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вероятная базовая часть пенсии каждого умершего родителя в отдельности индексируется на рост средней заработной платы предыдущего года, предшествующего индексации, в процентном выражении, за исключением лиц, у которых вероятная общая сумма пенсии каждого родителя в отдельности равна или превышает прожиточный минимум пенсионера, фактически сложившийся за предыдущий календарный год.</w:t>
      </w:r>
    </w:p>
    <w:p>
      <w:pPr>
        <w:spacing w:after="60"/>
        <w:ind w:firstLine="567"/>
        <w:jc w:val="both"/>
      </w:pPr>
      <w:r>
        <w:rPr>
          <w:rFonts w:ascii="Arial" w:cs="Arial" w:eastAsia="Arial" w:hAnsi="Arial"/>
          <w:sz w:val="24"/>
          <w:szCs w:val="24"/>
        </w:rPr>
        <w:t xml:space="preserve">18. Лицам, получающим пенсии по Списку № 2, работникам текстильных производств и за особые условия труда, исчисленных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Закона Кыргызской Республики "О государственном пенсионном социальном страховании", индексация базовой части пенсии до достижения ими общеустановленного пенсионного возраста производится работодателем за счет его средств в соответствии с настоящим Порядком, за исключением лиц, общий размер пенсий которых равен или превышает прожиточный минимум пенсионера, фактически сложившийся за предыдущий год.</w:t>
      </w:r>
    </w:p>
    <w:p>
      <w:pPr>
        <w:spacing w:after="200" w:before="200"/>
        <w:jc w:val="center"/>
      </w:pPr>
      <w:r>
        <w:rPr>
          <w:rFonts w:ascii="Arial" w:cs="Arial" w:eastAsia="Arial" w:hAnsi="Arial"/>
          <w:b/>
          <w:bCs/>
          <w:sz w:val="24"/>
          <w:szCs w:val="24"/>
        </w:rPr>
        <w:t xml:space="preserve">3. Индексация страховых частей пенсии</w:t>
      </w:r>
    </w:p>
    <w:p>
      <w:pPr>
        <w:spacing w:after="60"/>
        <w:ind w:firstLine="567"/>
        <w:jc w:val="both"/>
      </w:pPr>
      <w:r>
        <w:rPr>
          <w:rFonts w:ascii="Arial" w:cs="Arial" w:eastAsia="Arial" w:hAnsi="Arial"/>
          <w:sz w:val="24"/>
          <w:szCs w:val="24"/>
        </w:rPr>
        <w:t xml:space="preserve">19.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20. Индексации подлежат страховые части пенсий, назначенных в соответствии с </w:t>
      </w:r>
      <w:hyperlink w:history="1" r:id="rIdtvou_baagw8s9p2gbptd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момент принятия постановления Кабинета Министров Кыргызской Республики о проведении индексации страховых частей пенсии.</w:t>
      </w:r>
    </w:p>
    <w:p>
      <w:pPr>
        <w:spacing w:after="60"/>
        <w:ind w:firstLine="567"/>
        <w:jc w:val="both"/>
      </w:pPr>
      <w:r>
        <w:rPr>
          <w:rFonts w:ascii="Arial" w:cs="Arial" w:eastAsia="Arial" w:hAnsi="Arial"/>
          <w:i/>
          <w:iCs/>
          <w:sz w:val="24"/>
          <w:szCs w:val="24"/>
        </w:rPr>
        <w:t xml:space="preserve">(В редакции </w:t>
      </w:r>
      <w:hyperlink w:history="1" r:id="rIdklzekeqvagtutenf1tbg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21. 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и рассчитывается с точностью до второго знака включительно после запятой.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инд </w:t>
      </w:r>
      <w:r>
        <w:rPr>
          <w:rFonts w:ascii="Arial" w:cs="Arial" w:eastAsia="Arial" w:hAnsi="Arial"/>
          <w:sz w:val="24"/>
          <w:szCs w:val="24"/>
        </w:rPr>
        <w:t xml:space="preserve">= ∑ [(ИПЦ% + </w:t>
      </w:r>
      <w:r>
        <w:rPr>
          <w:rFonts w:ascii="Arial" w:cs="Arial" w:eastAsia="Arial" w:hAnsi="Arial"/>
          <w:sz w:val="24"/>
          <w:szCs w:val="24"/>
        </w:rPr>
        <w:t xml:space="preserve">рост</w:t>
      </w:r>
      <w:r>
        <w:rPr>
          <w:rFonts w:ascii="Arial" w:cs="Arial" w:eastAsia="Arial" w:hAnsi="Arial"/>
          <w:sz w:val="24"/>
          <w:szCs w:val="24"/>
        </w:rPr>
        <w:t xml:space="preserve">СМЗ%)] / 100 /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коэффициент индексации размеров страховых частей пенсий на соответствующий год;</w:t>
      </w:r>
    </w:p>
    <w:p>
      <w:pPr>
        <w:spacing w:after="60"/>
        <w:ind w:firstLine="567"/>
        <w:jc w:val="both"/>
      </w:pPr>
      <w:r>
        <w:rPr>
          <w:rFonts w:ascii="Arial" w:cs="Arial" w:eastAsia="Arial" w:hAnsi="Arial"/>
          <w:sz w:val="24"/>
          <w:szCs w:val="24"/>
        </w:rPr>
        <w:t xml:space="preserve">ИПЦ% - индекс потребительских цен в процентах к предыдущему году,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рост</w:t>
      </w:r>
      <w:r>
        <w:rPr>
          <w:rFonts w:ascii="Arial" w:cs="Arial" w:eastAsia="Arial" w:hAnsi="Arial"/>
          <w:sz w:val="24"/>
          <w:szCs w:val="24"/>
        </w:rPr>
        <w:t xml:space="preserve">СМЗ% - рост средней заработной платы предыдущего года, предшествующего индексации в процентах.</w:t>
      </w:r>
    </w:p>
    <w:p>
      <w:pPr>
        <w:spacing w:after="60"/>
        <w:ind w:firstLine="567"/>
        <w:jc w:val="both"/>
      </w:pPr>
      <w:r>
        <w:rPr>
          <w:rFonts w:ascii="Arial" w:cs="Arial" w:eastAsia="Arial" w:hAnsi="Arial"/>
          <w:sz w:val="24"/>
          <w:szCs w:val="24"/>
        </w:rPr>
        <w:t xml:space="preserve">Пример расчета коэффициента индексации размеров страховых частей пенсий на 2018 год приведен в таблице 2:</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 [(103,2% + 103,7%)] / 100 / 2 = 1,04</w:t>
            </w:r>
          </w:p>
          <w:p>
            <w:pPr>
              <w:jc w:val="left"/>
            </w:pPr>
            <w:r>
              <w:rPr>
                <w:rFonts w:ascii="Arial" w:cs="Arial" w:eastAsia="Arial" w:hAnsi="Arial"/>
                <w:sz w:val="24"/>
                <w:szCs w:val="24"/>
              </w:rPr>
              <w:t xml:space="preserve">где:</w:t>
            </w:r>
          </w:p>
          <w:p>
            <w:pPr>
              <w:jc w:val="left"/>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коэффициент индексации размеров страховых частей пенсий на 2018 год;</w:t>
            </w:r>
          </w:p>
          <w:p>
            <w:pPr>
              <w:jc w:val="left"/>
            </w:pPr>
            <w:r>
              <w:rPr>
                <w:rFonts w:ascii="Arial" w:cs="Arial" w:eastAsia="Arial" w:hAnsi="Arial"/>
                <w:sz w:val="24"/>
                <w:szCs w:val="24"/>
              </w:rPr>
              <w:t xml:space="preserve">103,2% - индекс потребительских цен за 2017 год в процентах к предыдущему году;</w:t>
            </w:r>
          </w:p>
          <w:p>
            <w:pPr>
              <w:jc w:val="left"/>
            </w:pPr>
            <w:r>
              <w:rPr>
                <w:rFonts w:ascii="Arial" w:cs="Arial" w:eastAsia="Arial" w:hAnsi="Arial"/>
                <w:sz w:val="24"/>
                <w:szCs w:val="24"/>
              </w:rPr>
              <w:t xml:space="preserve">103,7% - рост средней заработной платы 2017 года к средней заработной плате 2016 года в процентах.</w:t>
            </w:r>
          </w:p>
        </w:tc>
      </w:tr>
    </w:tbl>
    <w:p>
      <w:pPr>
        <w:spacing w:after="60" w:before="120"/>
        <w:ind w:firstLine="567"/>
        <w:jc w:val="both"/>
      </w:pPr>
      <w:r>
        <w:rPr>
          <w:rFonts w:ascii="Arial" w:cs="Arial" w:eastAsia="Arial" w:hAnsi="Arial"/>
          <w:sz w:val="24"/>
          <w:szCs w:val="24"/>
        </w:rPr>
        <w:t xml:space="preserve">22. Коэффициент индексации размеров страховых частей пенсий определяется постановлением Кабинета Министров Кыргызской Республики о проведении индексации страховых частей пенсии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nvag-lggs0mgkpwxtv6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23. Индексация страховых частей пенсии с момента принятия постановления Кабинета Министров Кыргызской Республики производится в следующем порядке:</w:t>
      </w:r>
    </w:p>
    <w:p>
      <w:pPr>
        <w:spacing w:after="60"/>
        <w:ind w:firstLine="567"/>
        <w:jc w:val="both"/>
      </w:pPr>
      <w:r>
        <w:rPr>
          <w:rFonts w:ascii="Arial" w:cs="Arial" w:eastAsia="Arial" w:hAnsi="Arial"/>
          <w:sz w:val="24"/>
          <w:szCs w:val="24"/>
        </w:rPr>
        <w:t xml:space="preserve">- определяется общий размер пенсии на дату принятия постановления Кабинета Министров Кыргызской Республики об индексации страховых частей пенсии;</w:t>
      </w:r>
    </w:p>
    <w:p>
      <w:pPr>
        <w:spacing w:after="60"/>
        <w:ind w:firstLine="567"/>
        <w:jc w:val="both"/>
      </w:pPr>
      <w:r>
        <w:rPr>
          <w:rFonts w:ascii="Arial" w:cs="Arial" w:eastAsia="Arial" w:hAnsi="Arial"/>
          <w:sz w:val="24"/>
          <w:szCs w:val="24"/>
        </w:rPr>
        <w:t xml:space="preserve">- из общего размера пенсии исключается базовая часть пенсии, получаемая пенсионером до момента индексации;</w:t>
      </w:r>
    </w:p>
    <w:p>
      <w:pPr>
        <w:spacing w:after="60"/>
        <w:ind w:firstLine="567"/>
        <w:jc w:val="both"/>
      </w:pPr>
      <w:r>
        <w:rPr>
          <w:rFonts w:ascii="Arial" w:cs="Arial" w:eastAsia="Arial" w:hAnsi="Arial"/>
          <w:sz w:val="24"/>
          <w:szCs w:val="24"/>
        </w:rPr>
        <w:t xml:space="preserve">- определяются страховые части пенсии, которые индексируются на коэффициент индексации размеров страховых частей пенсий,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 по итогам проведенной индексации базовой и страховых частей пенсии вновь определяется размер пенсии.</w:t>
      </w:r>
    </w:p>
    <w:p>
      <w:pPr>
        <w:spacing w:after="60"/>
        <w:ind w:firstLine="567"/>
        <w:jc w:val="both"/>
      </w:pPr>
      <w:r>
        <w:rPr>
          <w:rFonts w:ascii="Arial" w:cs="Arial" w:eastAsia="Arial" w:hAnsi="Arial"/>
          <w:i/>
          <w:iCs/>
          <w:sz w:val="24"/>
          <w:szCs w:val="24"/>
        </w:rPr>
        <w:t xml:space="preserve">(В редакции </w:t>
      </w:r>
      <w:hyperlink w:history="1" r:id="rIdaif8p1ifbuobfxblesaq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24. Лицам, получающим пенсии по инвалидности, исчисленных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государственном пенсионном социальном страховании", страховые части пенсии подлежат индексации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25. Лицам, получающим пенсии по случаю потери кормильца, исчисленных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вероятная страховая часть пенсии подлежит индексации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26. Детям, получающим пенсии по случаю потери кормильца, потерявшим обоих родителей, исчисленных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вероятные страховые части пенсии каждого умершего родителя в отдельности индексируются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27. Индексация страховых частей пенсий лиц, проживающих в условиях высокогорья и отдаленных труднодоступных зонах Кыргызской Республики, производится без применения районных коэффициентов.</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28. В случаях одновременного возникновения права на перерасчет пенсии по основаниям, предусмотренным </w:t>
      </w:r>
      <w:r>
        <w:rPr>
          <w:rFonts w:ascii="Arial" w:cs="Arial" w:eastAsia="Arial" w:hAnsi="Arial"/>
          <w:sz w:val="24"/>
          <w:szCs w:val="24"/>
        </w:rPr>
        <w:t xml:space="preserve">статьей 26-1</w:t>
      </w:r>
      <w:hyperlink w:history="1" r:id="rIdd8l59bmbuxyyhuhwoj-v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на индексацию пенсий сначала производится перерасчет по этим основаниям, а затем, с даты принятия постановлений Кабинета Министров Кыргызской Республики об индексации пенсии, части пенсии индексируются в соответствии с настоящим Порядком. </w:t>
      </w:r>
    </w:p>
    <w:p>
      <w:pPr>
        <w:spacing w:after="60"/>
        <w:ind w:firstLine="567"/>
        <w:jc w:val="both"/>
      </w:pPr>
      <w:r>
        <w:rPr>
          <w:rFonts w:ascii="Arial" w:cs="Arial" w:eastAsia="Arial" w:hAnsi="Arial"/>
          <w:i/>
          <w:iCs/>
          <w:sz w:val="24"/>
          <w:szCs w:val="24"/>
        </w:rPr>
        <w:t xml:space="preserve">(В редакции </w:t>
      </w:r>
      <w:hyperlink w:history="1" r:id="rIdqw8eay8ynadrnd8trpf0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ijigddgqje2n35psmnjd" Type="http://schemas.openxmlformats.org/officeDocument/2006/relationships/hyperlink" Target="http://kodeks.duckdns.org/document/230012441" TargetMode="External"/><Relationship Id="rIdg9zq6hdeyzv6bt-cv6jpk" Type="http://schemas.openxmlformats.org/officeDocument/2006/relationships/hyperlink" Target="http://kodeks.duckdns.org/document/160735" TargetMode="External"/><Relationship Id="rIdd35ql51fenmwvf7j83rpi" Type="http://schemas.openxmlformats.org/officeDocument/2006/relationships/hyperlink" Target="http://kodeks.duckdns.org/document/557" TargetMode="External"/><Relationship Id="rIdfnqbyfxtobculusxlrjvn" Type="http://schemas.openxmlformats.org/officeDocument/2006/relationships/hyperlink" Target="http://kodeks.duckdns.org/document/557" TargetMode="External"/><Relationship Id="rIdmlovzlroar7vkm7fvkee1" Type="http://schemas.openxmlformats.org/officeDocument/2006/relationships/hyperlink" Target="http://kodeks.duckdns.org/document/160735" TargetMode="External"/><Relationship Id="rId1guqmu_totyrb3frszscr" Type="http://schemas.openxmlformats.org/officeDocument/2006/relationships/hyperlink" Target="http://kodeks.duckdns.org/document/557" TargetMode="External"/><Relationship Id="rId0msfkhwdzqnrg6fuo-acc" Type="http://schemas.openxmlformats.org/officeDocument/2006/relationships/hyperlink" Target="http://kodeks.duckdns.org/document/160735" TargetMode="External"/><Relationship Id="rIdmhbtf5hjwmh1k0anwrh75" Type="http://schemas.openxmlformats.org/officeDocument/2006/relationships/hyperlink" Target="http://kodeks.duckdns.org/document/557" TargetMode="External"/><Relationship Id="rIdsalgon7ttl5f1wyyr8u3m" Type="http://schemas.openxmlformats.org/officeDocument/2006/relationships/hyperlink" Target="http://kodeks.duckdns.org/document/557" TargetMode="External"/><Relationship Id="rIdtvou_baagw8s9p2gbptdp" Type="http://schemas.openxmlformats.org/officeDocument/2006/relationships/hyperlink" Target="http://kodeks.duckdns.org/document/557" TargetMode="External"/><Relationship Id="rIdklzekeqvagtutenf1tbg8" Type="http://schemas.openxmlformats.org/officeDocument/2006/relationships/hyperlink" Target="http://kodeks.duckdns.org/document/160735" TargetMode="External"/><Relationship Id="rIdnvag-lggs0mgkpwxtv66-" Type="http://schemas.openxmlformats.org/officeDocument/2006/relationships/hyperlink" Target="http://kodeks.duckdns.org/document/160735" TargetMode="External"/><Relationship Id="rIdaif8p1ifbuobfxblesaqy" Type="http://schemas.openxmlformats.org/officeDocument/2006/relationships/hyperlink" Target="http://kodeks.duckdns.org/document/160735" TargetMode="External"/><Relationship Id="rIdd8l59bmbuxyyhuhwoj-vl" Type="http://schemas.openxmlformats.org/officeDocument/2006/relationships/hyperlink" Target="http://kodeks.duckdns.org/document/557" TargetMode="External"/><Relationship Id="rIdqw8eay8ynadrnd8trpf0t" Type="http://schemas.openxmlformats.org/officeDocument/2006/relationships/hyperlink" Target="http://kodeks.duckdns.org/document/160735"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2026-09-23T06:51:35.438Z</dcterms:created>
  <dcterms:modified xsi:type="dcterms:W3CDTF">2026-09-23T06:51:35.438Z</dcterms:modified>
</cp:coreProperties>
</file>

<file path=docProps/custom.xml><?xml version="1.0" encoding="utf-8"?>
<Properties xmlns="http://schemas.openxmlformats.org/officeDocument/2006/custom-properties" xmlns:vt="http://schemas.openxmlformats.org/officeDocument/2006/docPropsVTypes"/>
</file>