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zs_ecqxjekj-ogo4tbgb-">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7 августа 2018 года № 361</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w:t>
      </w:r>
      <w:hyperlink w:history="1" r:id="rIdeitu2ihi8eiqlxf1kfxl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xeq6e6dp0ao5uggx6-hjj">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cpp3xil1rdpy6zehsm-6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инициированный депутатами Жогорку Кенеша Кыргызской Республики Бакировым М.И., Нурбаевым A.M., Масалиевым И.А., Токторовым А.С, Токтошевым ЭТ., Райымкуловым Б.К., Сарсейитовым И.З.</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w:t>
      </w:r>
    </w:p>
    <w:p>
      <w:pPr>
        <w:spacing w:after="120"/>
        <w:jc w:val="right"/>
      </w:pPr>
      <w:hyperlink w:history="1" r:id="rIdzqukcwxqnilfopnkai2t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w:t>
      </w:r>
    </w:p>
    <w:p>
      <w:pPr>
        <w:spacing w:after="120"/>
        <w:jc w:val="right"/>
      </w:pPr>
      <w:r>
        <w:rPr>
          <w:rFonts w:ascii="Arial" w:cs="Arial" w:eastAsia="Arial" w:hAnsi="Arial"/>
          <w:sz w:val="24"/>
          <w:szCs w:val="24"/>
        </w:rPr>
        <w:t xml:space="preserve">от «_7_» августа 2018 года № 361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внесении изменений в Закон Кыргызской Республики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w:t>
      </w:r>
      <w:hyperlink w:history="1" r:id="rIdh68u7-i3-ax2tbqzhrsh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w:t>
      </w:r>
      <w:hyperlink w:history="1" r:id="rIdfibdnpqlkefnrjzp9s-c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инициированный депутатами Жогорку Кенеша Кыргызской Республики Бакировым М.И., Нурбаевым A.M., Масалиевым И.А., Токторовым А.С., Токтошевым Э.Т., Райымкуловым Б.К., Сарсейитовым И.З. (далее - проект Закона), приходит к следующему заключению.</w:t>
      </w:r>
    </w:p>
    <w:p>
      <w:pPr>
        <w:spacing w:after="120"/>
        <w:jc w:val="both"/>
      </w:pPr>
      <w:r>
        <w:rPr>
          <w:rFonts w:ascii="Arial" w:cs="Arial" w:eastAsia="Arial" w:hAnsi="Arial"/>
          <w:sz w:val="24"/>
          <w:szCs w:val="24"/>
        </w:rPr>
        <w:t xml:space="preserve">1. Частью 1 статьи 1 проекта Закона предусматривается устансить, что действие </w:t>
      </w:r>
      <w:hyperlink w:history="1" r:id="rIdc39b3njb9f9wxohknxci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не будет распространяться на лиц, занимающих политические государственные должности, специальные государственные должности и политические муниципальные должности, за исключением статьей 15 и 16 данного Закона.</w:t>
      </w:r>
    </w:p>
    <w:p>
      <w:pPr>
        <w:spacing w:after="120"/>
        <w:jc w:val="both"/>
      </w:pPr>
      <w:r>
        <w:rPr>
          <w:rFonts w:ascii="Arial" w:cs="Arial" w:eastAsia="Arial" w:hAnsi="Arial"/>
          <w:sz w:val="24"/>
          <w:szCs w:val="24"/>
        </w:rPr>
        <w:t xml:space="preserve">Тем самым указанным проектом Закона предлагается внести изменения в </w:t>
      </w:r>
      <w:hyperlink w:history="1" r:id="rId3cku4xkbgsbem8d2r7gt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позволяющие присваивать классные чины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Согласно части 5 статьи 31 </w:t>
      </w:r>
      <w:hyperlink w:history="1" r:id="rIdbhd4k-fjmdjb6akezx1f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служащему устанавливаются надбавки за классный чин и выслугу лет на государственной и муниципальной службе.</w:t>
      </w:r>
    </w:p>
    <w:p>
      <w:pPr>
        <w:spacing w:after="120"/>
        <w:jc w:val="both"/>
      </w:pPr>
      <w:r>
        <w:rPr>
          <w:rFonts w:ascii="Arial" w:cs="Arial" w:eastAsia="Arial" w:hAnsi="Arial"/>
          <w:sz w:val="24"/>
          <w:szCs w:val="24"/>
        </w:rPr>
        <w:t xml:space="preserve">Из этого следует, что принятие проекта Закона повлечет за собой дополнительные расходы из государственного бюджета, поскольку потребуется выплата надбавок лицам, занимающим политические государственные должности, специальные государственные должности и политические муниципальные должности, за присвоенные классные чины.</w:t>
      </w:r>
    </w:p>
    <w:p>
      <w:pPr>
        <w:spacing w:after="120"/>
        <w:jc w:val="both"/>
      </w:pPr>
      <w:r>
        <w:rPr>
          <w:rFonts w:ascii="Arial" w:cs="Arial" w:eastAsia="Arial" w:hAnsi="Arial"/>
          <w:sz w:val="24"/>
          <w:szCs w:val="24"/>
        </w:rPr>
        <w:t xml:space="preserve">При этом необходимо отметить, что согласно части 4 статьи 3 Закона Кыргызской Республики «О государственной гражданской службе и муниципальной службе» деятельность лиц, занимающих политические должности, регулируется отдельным законом о статусе этих лиц.</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Однако на сегодняшний день подобный закон отсутствует.</w:t>
      </w:r>
    </w:p>
    <w:p>
      <w:pPr>
        <w:spacing w:after="120"/>
        <w:jc w:val="both"/>
      </w:pPr>
      <w:r>
        <w:rPr>
          <w:rFonts w:ascii="Arial" w:cs="Arial" w:eastAsia="Arial" w:hAnsi="Arial"/>
          <w:sz w:val="24"/>
          <w:szCs w:val="24"/>
        </w:rPr>
        <w:t xml:space="preserve">В этой связи полагаем, что вопрос присвоения классных чинов лицам, занимающим политические должности, может быть решен путем разработки соответствующего закона о статусе этих лиц.</w:t>
      </w:r>
    </w:p>
    <w:p>
      <w:pPr>
        <w:spacing w:after="120"/>
        <w:jc w:val="both"/>
      </w:pPr>
      <w:r>
        <w:rPr>
          <w:rFonts w:ascii="Arial" w:cs="Arial" w:eastAsia="Arial" w:hAnsi="Arial"/>
          <w:sz w:val="24"/>
          <w:szCs w:val="24"/>
        </w:rPr>
        <w:t xml:space="preserve">Следует принять во внимание, что согласно части 3 статьи 80 </w:t>
      </w:r>
      <w:hyperlink w:history="1" r:id="rIdim6f7epl1r3jmildqfec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проекты законов, предусматривающих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2. Частью 4 статьи 1 проекта </w:t>
      </w:r>
      <w:hyperlink w:history="1" r:id="rIdmannwdvtlwhclih9ofpt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предлагается установить норму, согласно которой на лиц, занимающих административные государственные должности в аппаратах Президента Кыргызской Республики и Жогорку Кенеша Кыргызской Республики, не распространяется действие статьи 29 «Оценка деятельности государственных гражданских служащих и муниципальных служащих» Закона Кыргызской Республики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Вместе с тем отмечаем, что согласно части 1 вышеназванной статьи оценка деятельности служащих представляет собой определение степени результативности выполнения должностных обязанностей в соответствии с целями и задачами государственного органа, органа местного самоуправления и перспектив карьерного роста.</w:t>
      </w:r>
    </w:p>
    <w:p>
      <w:pPr>
        <w:spacing w:after="120"/>
        <w:jc w:val="both"/>
      </w:pPr>
      <w:r>
        <w:rPr>
          <w:rFonts w:ascii="Arial" w:cs="Arial" w:eastAsia="Arial" w:hAnsi="Arial"/>
          <w:sz w:val="24"/>
          <w:szCs w:val="24"/>
        </w:rPr>
        <w:t xml:space="preserve">При этом оценка деятельности служащих затрагивает вопросы прохождения государственной гражданской службы и муниципальной службы.</w:t>
      </w:r>
    </w:p>
    <w:p>
      <w:pPr>
        <w:spacing w:after="120"/>
        <w:jc w:val="both"/>
      </w:pPr>
      <w:r>
        <w:rPr>
          <w:rFonts w:ascii="Arial" w:cs="Arial" w:eastAsia="Arial" w:hAnsi="Arial"/>
          <w:sz w:val="24"/>
          <w:szCs w:val="24"/>
        </w:rPr>
        <w:t xml:space="preserve">Так, согласно </w:t>
      </w:r>
      <w:hyperlink w:history="1" r:id="rIduhcqs38e80xvnfz9_xon_">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 система оплаты труда служащих основывается на иерархии должностей, определяемой реестром должностей, и оценке деятельности служащего (часть 2 статьи 31);</w:t>
      </w:r>
    </w:p>
    <w:p>
      <w:pPr>
        <w:spacing w:after="120"/>
        <w:jc w:val="both"/>
      </w:pPr>
      <w:r>
        <w:rPr>
          <w:rFonts w:ascii="Arial" w:cs="Arial" w:eastAsia="Arial" w:hAnsi="Arial"/>
          <w:sz w:val="24"/>
          <w:szCs w:val="24"/>
        </w:rPr>
        <w:t xml:space="preserve">- классные чины присваиваются по результатам оценки деятельности, за некоторыми исключениями (часть 3 статьи 15);</w:t>
      </w:r>
    </w:p>
    <w:p>
      <w:pPr>
        <w:spacing w:after="120"/>
        <w:jc w:val="both"/>
      </w:pPr>
      <w:r>
        <w:rPr>
          <w:rFonts w:ascii="Arial" w:cs="Arial" w:eastAsia="Arial" w:hAnsi="Arial"/>
          <w:sz w:val="24"/>
          <w:szCs w:val="24"/>
        </w:rPr>
        <w:t xml:space="preserve">- Комиссия по оценке определяет годовую оценку служащего, на основе которой (часть 6 статьи 29):</w:t>
      </w:r>
    </w:p>
    <w:p>
      <w:pPr>
        <w:spacing w:after="120"/>
        <w:jc w:val="both"/>
      </w:pPr>
      <w:r>
        <w:rPr>
          <w:rFonts w:ascii="Arial" w:cs="Arial" w:eastAsia="Arial" w:hAnsi="Arial"/>
          <w:sz w:val="24"/>
          <w:szCs w:val="24"/>
        </w:rPr>
        <w:t xml:space="preserve">1) определяет шаг (коэффициент) в сетке оплаты труда;</w:t>
      </w:r>
    </w:p>
    <w:p>
      <w:pPr>
        <w:spacing w:after="120"/>
        <w:jc w:val="both"/>
      </w:pPr>
      <w:r>
        <w:rPr>
          <w:rFonts w:ascii="Arial" w:cs="Arial" w:eastAsia="Arial" w:hAnsi="Arial"/>
          <w:sz w:val="24"/>
          <w:szCs w:val="24"/>
        </w:rPr>
        <w:t xml:space="preserve">2) определяет соответствие или несоответствие занимаемой должности;</w:t>
      </w:r>
    </w:p>
    <w:p>
      <w:pPr>
        <w:spacing w:after="120"/>
        <w:jc w:val="both"/>
      </w:pPr>
      <w:r>
        <w:rPr>
          <w:rFonts w:ascii="Arial" w:cs="Arial" w:eastAsia="Arial" w:hAnsi="Arial"/>
          <w:sz w:val="24"/>
          <w:szCs w:val="24"/>
        </w:rPr>
        <w:t xml:space="preserve">3) вносит предложения о продвижении или понижении в должности;</w:t>
      </w:r>
    </w:p>
    <w:p>
      <w:pPr>
        <w:spacing w:after="120"/>
        <w:jc w:val="both"/>
      </w:pPr>
      <w:r>
        <w:rPr>
          <w:rFonts w:ascii="Arial" w:cs="Arial" w:eastAsia="Arial" w:hAnsi="Arial"/>
          <w:sz w:val="24"/>
          <w:szCs w:val="24"/>
        </w:rPr>
        <w:t xml:space="preserve">4) вносит предложения о поощрениях;</w:t>
      </w:r>
    </w:p>
    <w:p>
      <w:pPr>
        <w:spacing w:after="120"/>
        <w:jc w:val="both"/>
      </w:pPr>
      <w:r>
        <w:rPr>
          <w:rFonts w:ascii="Arial" w:cs="Arial" w:eastAsia="Arial" w:hAnsi="Arial"/>
          <w:sz w:val="24"/>
          <w:szCs w:val="24"/>
        </w:rPr>
        <w:t xml:space="preserve">5) вносит предложения о повышении квалификации;</w:t>
      </w:r>
    </w:p>
    <w:p>
      <w:pPr>
        <w:spacing w:after="120"/>
        <w:jc w:val="both"/>
      </w:pPr>
      <w:r>
        <w:rPr>
          <w:rFonts w:ascii="Arial" w:cs="Arial" w:eastAsia="Arial" w:hAnsi="Arial"/>
          <w:sz w:val="24"/>
          <w:szCs w:val="24"/>
        </w:rPr>
        <w:t xml:space="preserve">6) вносит предложения о ротации служащего;</w:t>
      </w:r>
    </w:p>
    <w:p>
      <w:pPr>
        <w:spacing w:after="120"/>
        <w:jc w:val="both"/>
      </w:pPr>
      <w:r>
        <w:rPr>
          <w:rFonts w:ascii="Arial" w:cs="Arial" w:eastAsia="Arial" w:hAnsi="Arial"/>
          <w:sz w:val="24"/>
          <w:szCs w:val="24"/>
        </w:rPr>
        <w:t xml:space="preserve">7) рекомендует для присвоения классного чина;</w:t>
      </w:r>
    </w:p>
    <w:p>
      <w:pPr>
        <w:spacing w:after="120"/>
        <w:jc w:val="both"/>
      </w:pPr>
      <w:r>
        <w:rPr>
          <w:rFonts w:ascii="Arial" w:cs="Arial" w:eastAsia="Arial" w:hAnsi="Arial"/>
          <w:sz w:val="24"/>
          <w:szCs w:val="24"/>
        </w:rPr>
        <w:t xml:space="preserve">8) рекомендует для включения во внутренний резерв кадров.</w:t>
      </w:r>
    </w:p>
    <w:p>
      <w:pPr>
        <w:spacing w:after="120"/>
        <w:jc w:val="both"/>
      </w:pPr>
      <w:r>
        <w:rPr>
          <w:rFonts w:ascii="Arial" w:cs="Arial" w:eastAsia="Arial" w:hAnsi="Arial"/>
          <w:sz w:val="24"/>
          <w:szCs w:val="24"/>
        </w:rPr>
        <w:t xml:space="preserve">Таким образом, в соответствии с законодательством в сфере государственной гражданской службы и муниципальной службы оценка деятельности служащих отражает их практический вклад, является ключевым элементом мотивации и в целом прохождения службы.</w:t>
      </w:r>
    </w:p>
    <w:p>
      <w:pPr>
        <w:spacing w:after="120"/>
        <w:jc w:val="both"/>
      </w:pPr>
      <w:r>
        <w:rPr>
          <w:rFonts w:ascii="Arial" w:cs="Arial" w:eastAsia="Arial" w:hAnsi="Arial"/>
          <w:sz w:val="24"/>
          <w:szCs w:val="24"/>
        </w:rPr>
        <w:t xml:space="preserve">С учетом вышеизложенного, принимая во внимание принципы законности, равноправия граждан перед законом, принятие предлагаемой проектом Закона нормы может повлечь социальное недовольство среди служащих других государственных органов, где сохраняется проведение оценки служащих, что существенно снизит правовую ценность этой категории.</w:t>
      </w:r>
    </w:p>
    <w:p>
      <w:pPr>
        <w:spacing w:after="120"/>
        <w:jc w:val="both"/>
      </w:pPr>
      <w:r>
        <w:rPr>
          <w:rFonts w:ascii="Arial" w:cs="Arial" w:eastAsia="Arial" w:hAnsi="Arial"/>
          <w:sz w:val="24"/>
          <w:szCs w:val="24"/>
        </w:rPr>
        <w:t xml:space="preserve">Соответственно, данные изменения могут негативно отразиться на вопросах прохождения государственной гражданской службы в указанных государственных органах.</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нецелесообразным принятие данного законопроекта.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s_ecqxjekj-ogo4tbgb-" Type="http://schemas.openxmlformats.org/officeDocument/2006/relationships/hyperlink" Target="http://kodeks.duckdns.org/document/230000286" TargetMode="External"/><Relationship Id="rIdeitu2ihi8eiqlxf1kfxlu" Type="http://schemas.openxmlformats.org/officeDocument/2006/relationships/hyperlink" Target="http://kodeks.duckdns.org/document/203685" TargetMode="External"/><Relationship Id="rIdxeq6e6dp0ao5uggx6-hjj" Type="http://schemas.openxmlformats.org/officeDocument/2006/relationships/hyperlink" Target="http://kodeks.duckdns.org/document/12258#p1" TargetMode="External"/><Relationship Id="rIdcpp3xil1rdpy6zehsm-6q" Type="http://schemas.openxmlformats.org/officeDocument/2006/relationships/hyperlink" Target="http://kodeks.duckdns.org/document/111354" TargetMode="External"/><Relationship Id="rIdzqukcwxqnilfopnkai2tu" Type="http://schemas.openxmlformats.org/officeDocument/2006/relationships/hyperlink" Target="http://kodeks.duckdns.org/document/12258" TargetMode="External"/><Relationship Id="rIdh68u7-i3-ax2tbqzhrsh1" Type="http://schemas.openxmlformats.org/officeDocument/2006/relationships/hyperlink" Target="http://kodeks.duckdns.org/document/203685" TargetMode="External"/><Relationship Id="rIdfibdnpqlkefnrjzp9s-cl" Type="http://schemas.openxmlformats.org/officeDocument/2006/relationships/hyperlink" Target="http://kodeks.duckdns.org/document/111354" TargetMode="External"/><Relationship Id="rIdc39b3njb9f9wxohknxcib" Type="http://schemas.openxmlformats.org/officeDocument/2006/relationships/hyperlink" Target="http://kodeks.duckdns.org/document/111354" TargetMode="External"/><Relationship Id="rId3cku4xkbgsbem8d2r7gtm" Type="http://schemas.openxmlformats.org/officeDocument/2006/relationships/hyperlink" Target="http://kodeks.duckdns.org/document/111354" TargetMode="External"/><Relationship Id="rIdbhd4k-fjmdjb6akezx1f8" Type="http://schemas.openxmlformats.org/officeDocument/2006/relationships/hyperlink" Target="http://kodeks.duckdns.org/document/111354" TargetMode="External"/><Relationship Id="rIdim6f7epl1r3jmildqfece" Type="http://schemas.openxmlformats.org/officeDocument/2006/relationships/hyperlink" Target="http://kodeks.duckdns.org/document/202913" TargetMode="External"/><Relationship Id="rIdmannwdvtlwhclih9ofpto" Type="http://schemas.openxmlformats.org/officeDocument/2006/relationships/hyperlink" Target="http://kodeks.duckdns.org/document/111354" TargetMode="External"/><Relationship Id="rIduhcqs38e80xvnfz9_xon_" Type="http://schemas.openxmlformats.org/officeDocument/2006/relationships/hyperlink" Target="http://kodeks.duckdns.org/document/111354"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2026-09-23T11:57:35.436Z</dcterms:created>
  <dcterms:modified xsi:type="dcterms:W3CDTF">2026-09-23T11:57:35.436Z</dcterms:modified>
</cp:coreProperties>
</file>

<file path=docProps/custom.xml><?xml version="1.0" encoding="utf-8"?>
<Properties xmlns="http://schemas.openxmlformats.org/officeDocument/2006/custom-properties" xmlns:vt="http://schemas.openxmlformats.org/officeDocument/2006/docPropsVTypes"/>
</file>