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25 июля 2018 года № 348</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курултаях»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7jlwvyif1amrp1vblpfp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_m04kkog3qcmpewlfjbe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курултаях», инициированный депутатами Жогорку Кенеша Кыргызской Республики Омуркуловым И.Ш., Шадиевым А.А., Тулендыбаевым П.Р., Масабировым Т.А., Рысалиевым З.К., Баймуратовым К.Ш., Мадеминовым М.Г., Арапбаевым А.А., Касымалиевой А.К., Примовым У.Б., Бакировым М.И., Турсунбаевым 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 </w:t>
      </w:r>
      <w:hyperlink w:history="1" r:id="rIdd9kwhgsld16uvq14d_d7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 от « 25 » июля 2018 года № 348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ЗАКЛЮЧЕНИЕ</w:t>
      </w:r>
    </w:p>
    <w:p>
      <w:pPr>
        <w:spacing w:after="120"/>
        <w:jc w:val="both"/>
      </w:pPr>
      <w:r>
        <w:rPr>
          <w:rFonts w:ascii="Arial" w:cs="Arial" w:eastAsia="Arial" w:hAnsi="Arial"/>
          <w:sz w:val="28"/>
          <w:szCs w:val="28"/>
        </w:rPr>
        <w:t xml:space="preserve">Правительства Кыргызской Республики на проект Закона Кыргызской Республики «О курултаях»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nzcxlnkge1pvcgpnuflo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курултаях», инициированный депутатами Жогорку Кенеша Кыргызской Республики Омуркуловым И.Ш., Шадиевым А.А., Тулендыбаевым П.Р., Масабировым Т.А., Рысалиевым З.К., Баймуратовым К.Ш., Мадеминовым М.Г., Арапбаевым А.А., Касымалиевой А.К., Примовым У.Б., Бакировым М.И., Турсунбаевым А.А., приходит к следующему заключению.</w:t>
      </w:r>
    </w:p>
    <w:p>
      <w:pPr>
        <w:spacing w:after="120"/>
        <w:jc w:val="both"/>
      </w:pPr>
      <w:r>
        <w:rPr>
          <w:rFonts w:ascii="Arial" w:cs="Arial" w:eastAsia="Arial" w:hAnsi="Arial"/>
          <w:sz w:val="24"/>
          <w:szCs w:val="24"/>
        </w:rPr>
        <w:t xml:space="preserve">1. Согласно справке-обоснованию к законопроекту, данный проект Закона разработан в целях реализации положений статьи 52 </w:t>
      </w:r>
      <w:hyperlink w:history="1" r:id="rId3r1ktqekjcowo317rtf9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предусматривающей проведение народных курултаев по вопросам, имеющим государственное и общественное значение.</w:t>
      </w:r>
    </w:p>
    <w:p>
      <w:pPr>
        <w:spacing w:after="120"/>
        <w:jc w:val="both"/>
      </w:pPr>
      <w:r>
        <w:rPr>
          <w:rFonts w:ascii="Arial" w:cs="Arial" w:eastAsia="Arial" w:hAnsi="Arial"/>
          <w:sz w:val="24"/>
          <w:szCs w:val="24"/>
        </w:rPr>
        <w:t xml:space="preserve">Так, согласно статье 1 законопроекта, предметом регулирования данного Закона являются общественные отношения, возникающие в связи с реализацией гражданами права на участие в обсуждении и принятии решений по вопросам, имеющим государственное и общественное значение.</w:t>
      </w:r>
    </w:p>
    <w:p>
      <w:pPr>
        <w:spacing w:after="120"/>
        <w:jc w:val="both"/>
      </w:pPr>
      <w:r>
        <w:rPr>
          <w:rFonts w:ascii="Arial" w:cs="Arial" w:eastAsia="Arial" w:hAnsi="Arial"/>
          <w:sz w:val="24"/>
          <w:szCs w:val="24"/>
        </w:rPr>
        <w:t xml:space="preserve">Согласно статье 7 законопроекта, курултай вправе рассматривать вопросы государственного и общественного значения, за исключением вопросов, входящих в категорию государственной, военной и служебной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Однако законопроектом четко не определены вопросы государственного и общественного значения, которые могут быть вынесены на рассмотрение курултая.</w:t>
      </w:r>
    </w:p>
    <w:p>
      <w:pPr>
        <w:spacing w:after="120"/>
        <w:jc w:val="both"/>
      </w:pPr>
      <w:r>
        <w:rPr>
          <w:rFonts w:ascii="Arial" w:cs="Arial" w:eastAsia="Arial" w:hAnsi="Arial"/>
          <w:sz w:val="24"/>
          <w:szCs w:val="24"/>
        </w:rPr>
        <w:t xml:space="preserve">Следует отметить, что государственное и общественное значение может иметь широкий спектр вопросов.</w:t>
      </w:r>
    </w:p>
    <w:p>
      <w:pPr>
        <w:spacing w:after="120"/>
        <w:jc w:val="both"/>
      </w:pPr>
      <w:r>
        <w:rPr>
          <w:rFonts w:ascii="Arial" w:cs="Arial" w:eastAsia="Arial" w:hAnsi="Arial"/>
          <w:sz w:val="24"/>
          <w:szCs w:val="24"/>
        </w:rPr>
        <w:t xml:space="preserve">В связи с этим, а также во избежание неясностей в правоприменительной практике, предлагаем законопроектом определить конкретный перечень вопросов, которые могут быть рассмотрены на республиканском народном курултае и курултаях местного сообщества.</w:t>
      </w:r>
    </w:p>
    <w:p>
      <w:pPr>
        <w:spacing w:after="120"/>
        <w:jc w:val="both"/>
      </w:pPr>
      <w:r>
        <w:rPr>
          <w:rFonts w:ascii="Arial" w:cs="Arial" w:eastAsia="Arial" w:hAnsi="Arial"/>
          <w:sz w:val="24"/>
          <w:szCs w:val="24"/>
        </w:rPr>
        <w:t xml:space="preserve">2. Частью 2 статьи 6 законопроекта устанавливается, что финансирование республиканского народного курултая осуществляется за счет государственного бюджета, а мероприятий, проводимых курултаями местных сообществ, - за счет средств местных бюджетов.</w:t>
      </w:r>
    </w:p>
    <w:p>
      <w:pPr>
        <w:spacing w:after="120"/>
        <w:jc w:val="both"/>
      </w:pPr>
      <w:r>
        <w:rPr>
          <w:rFonts w:ascii="Arial" w:cs="Arial" w:eastAsia="Arial" w:hAnsi="Arial"/>
          <w:sz w:val="24"/>
          <w:szCs w:val="24"/>
        </w:rPr>
        <w:t xml:space="preserve">Вместе с тем обращаем внимание, что согласно статье 10 </w:t>
      </w:r>
      <w:hyperlink w:history="1" r:id="rId7o1oqhxlwsjreb15892co">
        <w:r>
          <w:rPr>
            <w:rFonts w:ascii="Arial" w:cs="Arial" w:eastAsia="Arial" w:hAnsi="Arial"/>
            <w:color w:val="1D4ED8"/>
            <w:sz w:val="24"/>
            <w:szCs w:val="24"/>
            <w:u w:val="single"/>
          </w:rPr>
          <w:t xml:space="preserve">Бюджетного кодекса</w:t>
        </w:r>
      </w:hyperlink>
      <w:r>
        <w:rPr>
          <w:rFonts w:ascii="Arial" w:cs="Arial" w:eastAsia="Arial" w:hAnsi="Arial"/>
          <w:sz w:val="24"/>
          <w:szCs w:val="24"/>
        </w:rPr>
        <w:t xml:space="preserve"> Кыргызской Республики, республиканский бюджет - это совокупность денежных средств, предназначенных для финансового обеспечения задач и функций государственных органов, подведомственных им бюджетных учреждений.</w:t>
      </w:r>
    </w:p>
    <w:p>
      <w:pPr>
        <w:spacing w:after="120"/>
        <w:jc w:val="both"/>
      </w:pPr>
      <w:r>
        <w:rPr>
          <w:rFonts w:ascii="Arial" w:cs="Arial" w:eastAsia="Arial" w:hAnsi="Arial"/>
          <w:sz w:val="24"/>
          <w:szCs w:val="24"/>
        </w:rPr>
        <w:t xml:space="preserve">В соответствии со статьей 14 указанного Кодекса республиканский и местные бюджеты образуют государственный бюджет Кыргызской Республики.</w:t>
      </w:r>
    </w:p>
    <w:p>
      <w:pPr>
        <w:spacing w:after="120"/>
        <w:jc w:val="both"/>
      </w:pPr>
      <w:r>
        <w:rPr>
          <w:rFonts w:ascii="Arial" w:cs="Arial" w:eastAsia="Arial" w:hAnsi="Arial"/>
          <w:sz w:val="24"/>
          <w:szCs w:val="24"/>
        </w:rPr>
        <w:t xml:space="preserve">С учетом изложенного, часть 2 статьи 6 законопроекта предлагаем пересмотреть.</w:t>
      </w:r>
    </w:p>
    <w:p>
      <w:pPr>
        <w:spacing w:after="120"/>
        <w:jc w:val="both"/>
      </w:pPr>
      <w:r>
        <w:rPr>
          <w:rFonts w:ascii="Arial" w:cs="Arial" w:eastAsia="Arial" w:hAnsi="Arial"/>
          <w:sz w:val="24"/>
          <w:szCs w:val="24"/>
        </w:rPr>
        <w:t xml:space="preserve">3. Частью 2 статьи 9 законопроекта предусматривается, что последующие заседания курултая местного сообщества, в том числе внеочередные заседания, могут созываться главой курултая местного сообщества, в том числе по предложению председателя соответствующего местного кенеша, главы исполнительного органа местного самоуправления, по требованию не менее 1/3 депутатов местного кенеша, по требованию не менее 1/3 делегатов курултая.</w:t>
      </w:r>
    </w:p>
    <w:p>
      <w:pPr>
        <w:spacing w:after="120"/>
        <w:jc w:val="both"/>
      </w:pPr>
      <w:r>
        <w:rPr>
          <w:rFonts w:ascii="Arial" w:cs="Arial" w:eastAsia="Arial" w:hAnsi="Arial"/>
          <w:sz w:val="24"/>
          <w:szCs w:val="24"/>
        </w:rPr>
        <w:t xml:space="preserve">Вместе с тем, в целях коллективного принятия решений и упорядочения деятельности курултая местного сообщества, исключения хаотичного созыва курултая местного сообщества предлагаем законопроектом предусмотреть положение о президиуме курултая местного сообщества, с делегированием ему соответствующих полномочий.</w:t>
      </w:r>
    </w:p>
    <w:p>
      <w:pPr>
        <w:spacing w:after="120"/>
        <w:jc w:val="both"/>
      </w:pPr>
      <w:r>
        <w:rPr>
          <w:rFonts w:ascii="Arial" w:cs="Arial" w:eastAsia="Arial" w:hAnsi="Arial"/>
          <w:sz w:val="24"/>
          <w:szCs w:val="24"/>
        </w:rPr>
        <w:t xml:space="preserve">4. Учитывая, что слова «соответствующие органы» носят обобщенный и не конкретный характер, в статье 10 законопроекта предлагаем четко обозначить: в какие органы местного самоуправления будут направляться решения курултая местного сообщества.</w:t>
      </w:r>
    </w:p>
    <w:p>
      <w:pPr>
        <w:spacing w:after="120"/>
        <w:jc w:val="both"/>
      </w:pPr>
      <w:r>
        <w:rPr>
          <w:rFonts w:ascii="Arial" w:cs="Arial" w:eastAsia="Arial" w:hAnsi="Arial"/>
          <w:sz w:val="24"/>
          <w:szCs w:val="24"/>
        </w:rPr>
        <w:t xml:space="preserve">5. Главой 2 законопроекта регламентированы вопросы проведения курултая местного сообщества.</w:t>
      </w:r>
    </w:p>
    <w:p>
      <w:pPr>
        <w:spacing w:after="120"/>
        <w:jc w:val="both"/>
      </w:pPr>
      <w:r>
        <w:rPr>
          <w:rFonts w:ascii="Arial" w:cs="Arial" w:eastAsia="Arial" w:hAnsi="Arial"/>
          <w:sz w:val="24"/>
          <w:szCs w:val="24"/>
        </w:rPr>
        <w:t xml:space="preserve">Следует обратить внимание, что вопросы курултая местного сообщества также регламентированы Законом Кыргызской Республики «О местном самоуправлении».</w:t>
      </w:r>
    </w:p>
    <w:p>
      <w:pPr>
        <w:spacing w:after="120"/>
        <w:jc w:val="both"/>
      </w:pPr>
      <w:r>
        <w:rPr>
          <w:rFonts w:ascii="Arial" w:cs="Arial" w:eastAsia="Arial" w:hAnsi="Arial"/>
          <w:sz w:val="24"/>
          <w:szCs w:val="24"/>
        </w:rPr>
        <w:t xml:space="preserve">Так, согласно статье 59 </w:t>
      </w:r>
      <w:hyperlink w:history="1" r:id="rIdecm6dqhhsnryzniwmp_c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 курултай могут выноситься вопросы социально-экономического развития территории, формирования местного бюджета, использования и развития муниципальной собственности. Решения курултая носят рекомендательный характер для соответствующего местного кенеша и рассматриваются местным кенешем и главой исполнительного органа местного самоуправления. Нормы представительства делегатов курултая, порядок его проведения и реализации решений курултая устанавливаются уставом местного сообщества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С учетом изложенного, а также в целях недопущения противоречий между нормами в нормативных правовых актах главу 2 законопроекта предлагаем пересмотреть на предмет соответствия требованиям Закона Кыргызской Республики «О местном самоуправлении».</w:t>
      </w:r>
    </w:p>
    <w:p>
      <w:pPr>
        <w:spacing w:after="120"/>
        <w:jc w:val="both"/>
      </w:pPr>
      <w:r>
        <w:rPr>
          <w:rFonts w:ascii="Arial" w:cs="Arial" w:eastAsia="Arial" w:hAnsi="Arial"/>
          <w:sz w:val="24"/>
          <w:szCs w:val="24"/>
        </w:rPr>
        <w:t xml:space="preserve">6. Согласно статье 52 </w:t>
      </w:r>
      <w:hyperlink w:history="1" r:id="rId9biqbwgi6hszi5wc8fuj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граждане вправе проводить народные курултаи по вопросам, имеющим государственное и общественное значение, в связи с чем нормы об обсуждении вопросов по социальному мониторингу деятельности органов государственной власти, указанные в статье 11 законопроекта, предлагаем исключить.</w:t>
      </w:r>
    </w:p>
    <w:p>
      <w:pPr>
        <w:spacing w:after="120"/>
        <w:jc w:val="both"/>
      </w:pPr>
      <w:r>
        <w:rPr>
          <w:rFonts w:ascii="Arial" w:cs="Arial" w:eastAsia="Arial" w:hAnsi="Arial"/>
          <w:sz w:val="24"/>
          <w:szCs w:val="24"/>
        </w:rPr>
        <w:t xml:space="preserve">7. В части 1 статьи 12 законопроекта указывается, что первое заседание республиканского народного курултая созывается Президентом Кыргызской Республики, а последующие заседания - по решению президиума республиканского народного курултая.</w:t>
      </w:r>
    </w:p>
    <w:p>
      <w:pPr>
        <w:spacing w:after="120"/>
        <w:jc w:val="both"/>
      </w:pPr>
      <w:r>
        <w:rPr>
          <w:rFonts w:ascii="Arial" w:cs="Arial" w:eastAsia="Arial" w:hAnsi="Arial"/>
          <w:sz w:val="24"/>
          <w:szCs w:val="24"/>
        </w:rPr>
        <w:t xml:space="preserve">Между тем необходимо отметить, что статьей 64 </w:t>
      </w:r>
      <w:hyperlink w:history="1" r:id="rIdaqm0jhfk40hkc8btaw14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определен исчерпывающий перечень полномочий Президента Кыргызской Республики, среди которых полномочие Президента Кыргызской Республики по созыву республиканского народного курултая не предусмотрено.</w:t>
      </w:r>
    </w:p>
    <w:p>
      <w:pPr>
        <w:spacing w:after="120"/>
        <w:jc w:val="both"/>
      </w:pPr>
      <w:r>
        <w:rPr>
          <w:rFonts w:ascii="Arial" w:cs="Arial" w:eastAsia="Arial" w:hAnsi="Arial"/>
          <w:sz w:val="24"/>
          <w:szCs w:val="24"/>
        </w:rPr>
        <w:t xml:space="preserve">Аналогичное замечание по часта 3 статьи 12 законопроекта.</w:t>
      </w:r>
    </w:p>
    <w:p>
      <w:pPr>
        <w:spacing w:after="120"/>
        <w:jc w:val="both"/>
      </w:pPr>
      <w:r>
        <w:rPr>
          <w:rFonts w:ascii="Arial" w:cs="Arial" w:eastAsia="Arial" w:hAnsi="Arial"/>
          <w:sz w:val="24"/>
          <w:szCs w:val="24"/>
        </w:rPr>
        <w:t xml:space="preserve">8. Согласно Реестру государственных и муниципальных должностей Кыргызской Республики, утвержденному </w:t>
      </w:r>
      <w:hyperlink w:history="1" r:id="rIdl447htc9monxe06xmxru6">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января 2017 года № 17, председатель местного кенеша, мэр города, глава айыл окмоту (главы исполнительных органов местного самоуправления) входят в перечень муниципальных должностей и соответственно занимают муниципальные должности.</w:t>
      </w:r>
    </w:p>
    <w:p>
      <w:pPr>
        <w:spacing w:after="120"/>
        <w:jc w:val="both"/>
      </w:pPr>
      <w:r>
        <w:rPr>
          <w:rFonts w:ascii="Arial" w:cs="Arial" w:eastAsia="Arial" w:hAnsi="Arial"/>
          <w:sz w:val="24"/>
          <w:szCs w:val="24"/>
        </w:rPr>
        <w:t xml:space="preserve">В связи с этим части 1 и 5 статьи 13 законопроекта следует пересмотреть, поскольку они противоречат друг другу.</w:t>
      </w:r>
    </w:p>
    <w:p>
      <w:pPr>
        <w:spacing w:after="120"/>
        <w:jc w:val="both"/>
      </w:pPr>
      <w:r>
        <w:rPr>
          <w:rFonts w:ascii="Arial" w:cs="Arial" w:eastAsia="Arial" w:hAnsi="Arial"/>
          <w:sz w:val="24"/>
          <w:szCs w:val="24"/>
        </w:rPr>
        <w:t xml:space="preserve">9. Редакцию пункта 3 части 1 статьи 13 законопроекта предлагаем пересмотреть, так как граждане не могут быть представителями от органа местного самоуправления, поскольку не имеют каких-либо правовых отношений с органами местного самоуправления и не осуществляют деятельность в органах местного самоуправления.</w:t>
      </w:r>
    </w:p>
    <w:p>
      <w:pPr>
        <w:spacing w:after="120"/>
        <w:jc w:val="both"/>
      </w:pPr>
      <w:r>
        <w:rPr>
          <w:rFonts w:ascii="Arial" w:cs="Arial" w:eastAsia="Arial" w:hAnsi="Arial"/>
          <w:sz w:val="24"/>
          <w:szCs w:val="24"/>
        </w:rPr>
        <w:t xml:space="preserve">Аналогичное замечание по части 2 указанной статьи законопроекта.</w:t>
      </w:r>
    </w:p>
    <w:p>
      <w:pPr>
        <w:spacing w:after="120"/>
        <w:jc w:val="both"/>
      </w:pPr>
      <w:r>
        <w:rPr>
          <w:rFonts w:ascii="Arial" w:cs="Arial" w:eastAsia="Arial" w:hAnsi="Arial"/>
          <w:sz w:val="24"/>
          <w:szCs w:val="24"/>
        </w:rPr>
        <w:t xml:space="preserve">10. Абзацем восьмым части 4 статьи 13 законопроекта отмечается, что при совершении делегатом проступка, подрывающего авторитет республиканского народного курултая, его могут лишить мандата по решению специальной комиссии, созданной республиканским народным курултаем.</w:t>
      </w:r>
    </w:p>
    <w:p>
      <w:pPr>
        <w:spacing w:after="120"/>
        <w:jc w:val="both"/>
      </w:pPr>
      <w:r>
        <w:rPr>
          <w:rFonts w:ascii="Arial" w:cs="Arial" w:eastAsia="Arial" w:hAnsi="Arial"/>
          <w:sz w:val="24"/>
          <w:szCs w:val="24"/>
        </w:rPr>
        <w:t xml:space="preserve">Однако законопроектом не предусмотрены полномочия и порядок работы указанной комиссии, в связи с чем предлагаем их обозначить.</w:t>
      </w:r>
    </w:p>
    <w:p>
      <w:pPr>
        <w:spacing w:after="120"/>
        <w:jc w:val="both"/>
      </w:pPr>
      <w:r>
        <w:rPr>
          <w:rFonts w:ascii="Arial" w:cs="Arial" w:eastAsia="Arial" w:hAnsi="Arial"/>
          <w:sz w:val="24"/>
          <w:szCs w:val="24"/>
        </w:rPr>
        <w:t xml:space="preserve">11. Частью 8 статьи 14 предлагается установить, что функции секретариата выполняет уполномоченный государственный орган в сфере
 местного самоуправления.</w:t>
      </w:r>
    </w:p>
    <w:p>
      <w:pPr>
        <w:spacing w:after="120"/>
        <w:jc w:val="both"/>
      </w:pPr>
      <w:r>
        <w:rPr>
          <w:rFonts w:ascii="Arial" w:cs="Arial" w:eastAsia="Arial" w:hAnsi="Arial"/>
          <w:sz w:val="24"/>
          <w:szCs w:val="24"/>
        </w:rPr>
        <w:t xml:space="preserve">При этом, согласно статьям 10 и 11 </w:t>
      </w:r>
      <w:hyperlink w:history="1" r:id="rId5teunjyodi8_vhrpyps6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распределяет функции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государственных органах.</w:t>
      </w:r>
    </w:p>
    <w:p>
      <w:pPr>
        <w:spacing w:after="120"/>
        <w:jc w:val="both"/>
      </w:pPr>
      <w:r>
        <w:rPr>
          <w:rFonts w:ascii="Arial" w:cs="Arial" w:eastAsia="Arial" w:hAnsi="Arial"/>
          <w:sz w:val="24"/>
          <w:szCs w:val="24"/>
        </w:rPr>
        <w:t xml:space="preserve">Исходя из вышеизложенного, законодательные акты не должны содержать положения, определяющие полномочия государственных органов, функционирующих в системе исполнительной ветви власти.</w:t>
      </w:r>
    </w:p>
    <w:p>
      <w:pPr>
        <w:spacing w:after="120"/>
        <w:jc w:val="both"/>
      </w:pPr>
      <w:r>
        <w:rPr>
          <w:rFonts w:ascii="Arial" w:cs="Arial" w:eastAsia="Arial" w:hAnsi="Arial"/>
          <w:sz w:val="24"/>
          <w:szCs w:val="24"/>
        </w:rPr>
        <w:t xml:space="preserve">В связи с этим в абзаце втором части 8 статьи 14 законопроекта слова «в сфере местного самоуправления» предлагаем заменить словами «, определяемый Правительством Кыргызской Республики».</w:t>
      </w:r>
    </w:p>
    <w:p>
      <w:pPr>
        <w:spacing w:after="120"/>
        <w:jc w:val="both"/>
      </w:pPr>
      <w:r>
        <w:rPr>
          <w:rFonts w:ascii="Arial" w:cs="Arial" w:eastAsia="Arial" w:hAnsi="Arial"/>
          <w:sz w:val="24"/>
          <w:szCs w:val="24"/>
        </w:rPr>
        <w:t xml:space="preserve">12. Частью 1 статьи 16 законопроекта устанавливается, что Закон вступает в силу со дня официального опубликования.</w:t>
      </w:r>
    </w:p>
    <w:p>
      <w:pPr>
        <w:spacing w:after="120"/>
        <w:jc w:val="both"/>
      </w:pPr>
      <w:r>
        <w:rPr>
          <w:rFonts w:ascii="Arial" w:cs="Arial" w:eastAsia="Arial" w:hAnsi="Arial"/>
          <w:sz w:val="24"/>
          <w:szCs w:val="24"/>
        </w:rPr>
        <w:t xml:space="preserve">При этом, частью 2 названной статьи предусматривается предложить Президенту Кыргызской Республики привести свои нормативные правовые акты в соответствие с данным Законом.</w:t>
      </w:r>
    </w:p>
    <w:p>
      <w:pPr>
        <w:spacing w:after="120"/>
        <w:jc w:val="both"/>
      </w:pPr>
      <w:r>
        <w:rPr>
          <w:rFonts w:ascii="Arial" w:cs="Arial" w:eastAsia="Arial" w:hAnsi="Arial"/>
          <w:sz w:val="24"/>
          <w:szCs w:val="24"/>
        </w:rPr>
        <w:t xml:space="preserve">Кроме того, частью 3 указанной статьи Правительству Кыргызской Республики поручается принять нормативные правовые акты, обеспечивающие реализацию данного Закона, и представить в Жогорку Кенеш Кыргызской Республики предложения по приведению законодательных актов Кыргызской Республики в соответствие с данным Законом.</w:t>
      </w:r>
    </w:p>
    <w:p>
      <w:pPr>
        <w:spacing w:after="120"/>
        <w:jc w:val="both"/>
      </w:pPr>
      <w:r>
        <w:rPr>
          <w:rFonts w:ascii="Arial" w:cs="Arial" w:eastAsia="Arial" w:hAnsi="Arial"/>
          <w:sz w:val="24"/>
          <w:szCs w:val="24"/>
        </w:rPr>
        <w:t xml:space="preserve">Вместе с тем отмечаем, что в случае принятия данного законопроекта Президенту и Правительству Кыргызской Республики потребуется время для приведения своих решений в соответствие с нормами принятого Закона с учетом требований, установленных </w:t>
      </w:r>
      <w:hyperlink w:history="1" r:id="rIdxfnvhbndaqtur00nqg7x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включая процедуру проведения общественного обсуждения, согласования с заинтересованными государственными органами и организациями.</w:t>
      </w:r>
    </w:p>
    <w:p>
      <w:pPr>
        <w:spacing w:after="120"/>
        <w:jc w:val="both"/>
      </w:pPr>
      <w:r>
        <w:rPr>
          <w:rFonts w:ascii="Arial" w:cs="Arial" w:eastAsia="Arial" w:hAnsi="Arial"/>
          <w:sz w:val="24"/>
          <w:szCs w:val="24"/>
        </w:rPr>
        <w:t xml:space="preserve">С учетом изложенного часть 1 статьи 16 законопроекта предлагаем пересмотреть.</w:t>
      </w:r>
    </w:p>
    <w:p>
      <w:pPr>
        <w:spacing w:after="120"/>
        <w:jc w:val="both"/>
      </w:pPr>
      <w:r>
        <w:rPr>
          <w:rFonts w:ascii="Arial" w:cs="Arial" w:eastAsia="Arial" w:hAnsi="Arial"/>
          <w:sz w:val="24"/>
          <w:szCs w:val="24"/>
        </w:rPr>
        <w:t xml:space="preserve">13. Также, в законопроекте используются обобщенные и неконкретные формулировки, такие как «надлежащие условия», «иное обеспечение», «иных нормативных правовых актов», «иным вопросам», «могут созываться» и «могут быть реализованы», которые способствуют появлению коррупционных проявлений в правоприменительной практике, поскольку предоставляют соответствующему субъекту широкие дискреционные полномочия.</w:t>
      </w:r>
    </w:p>
    <w:p>
      <w:pPr>
        <w:spacing w:after="120"/>
        <w:jc w:val="both"/>
      </w:pPr>
      <w:r>
        <w:rPr>
          <w:rFonts w:ascii="Arial" w:cs="Arial" w:eastAsia="Arial" w:hAnsi="Arial"/>
          <w:sz w:val="24"/>
          <w:szCs w:val="24"/>
        </w:rPr>
        <w:t xml:space="preserve">В связи с этим предлагаем соответствующие положения законопроекта пересмотреть.</w:t>
      </w:r>
    </w:p>
    <w:p>
      <w:pPr>
        <w:spacing w:after="120"/>
        <w:jc w:val="both"/>
      </w:pPr>
      <w:r>
        <w:rPr>
          <w:rFonts w:ascii="Arial" w:cs="Arial" w:eastAsia="Arial" w:hAnsi="Arial"/>
          <w:sz w:val="24"/>
          <w:szCs w:val="24"/>
        </w:rPr>
        <w:t xml:space="preserve">14. Анализ положений законопроекта показывает, что законопроект содержит нормы, предусматривающие увеличение расходов республиканского бюджета.</w:t>
      </w:r>
    </w:p>
    <w:p>
      <w:pPr>
        <w:spacing w:after="120"/>
        <w:jc w:val="both"/>
      </w:pPr>
      <w:r>
        <w:rPr>
          <w:rFonts w:ascii="Arial" w:cs="Arial" w:eastAsia="Arial" w:hAnsi="Arial"/>
          <w:sz w:val="24"/>
          <w:szCs w:val="24"/>
        </w:rPr>
        <w:t xml:space="preserve">Например, частью 2 статьи 6 законопроекта устанавливается, что финансирование республиканского народного курултая осуществляется за счет средств государственного бюджета, а мероприятий, проводимых курултаями местных сообществ, — за счет средств соответствующих местных бюджетов.</w:t>
      </w:r>
    </w:p>
    <w:p>
      <w:pPr>
        <w:spacing w:after="120"/>
        <w:jc w:val="both"/>
      </w:pPr>
      <w:r>
        <w:rPr>
          <w:rFonts w:ascii="Arial" w:cs="Arial" w:eastAsia="Arial" w:hAnsi="Arial"/>
          <w:sz w:val="24"/>
          <w:szCs w:val="24"/>
        </w:rPr>
        <w:t xml:space="preserve">При этом следует учесть, что согласно статье 80 Конституции Кыргызской Республики,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В соответствии со статьей 26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Однако Законом Кыргызской Республики «О республиканском бюджете на 2018 год и прогнозе на 2019-2020 годы» не предусмотрено финансирование проведения курултаев.</w:t>
      </w:r>
    </w:p>
    <w:p>
      <w:pPr>
        <w:spacing w:after="120"/>
        <w:jc w:val="both"/>
      </w:pPr>
      <w:r>
        <w:rPr>
          <w:rFonts w:ascii="Arial" w:cs="Arial" w:eastAsia="Arial" w:hAnsi="Arial"/>
          <w:sz w:val="24"/>
          <w:szCs w:val="24"/>
        </w:rPr>
        <w:t xml:space="preserve">Также отмечаем, что прилагаемая к законопроекту справка-обоснование не соответствует требованиям статьи 25 </w:t>
      </w:r>
      <w:hyperlink w:history="1" r:id="rIdfgecmr5b6h1xe2b68c9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не содержит сведений о наличии источников финансирования законопроекта.</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что вышеназванный законопроект требует тщательной доработки в соответствии с Законом Кыргызской Республики «О нормативных правовых актах Кыргызской Республики» и Инструкцией по законодательной технике, утвержденной </w:t>
      </w:r>
      <w:hyperlink w:history="1" r:id="rIdumzaeh_fzpleflcofib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а также с учетом замечаний и предложений, изложенных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moip6vlspj_zp-9i_wm">
      <w:r>
        <w:rPr>
          <w:rFonts w:ascii="Arial" w:cs="Arial" w:eastAsia="Arial" w:hAnsi="Arial"/>
          <w:color w:val="132D3F"/>
          <w:sz w:val="16"/>
          <w:szCs w:val="16"/>
          <w:u w:val="single"/>
        </w:rPr>
        <w:t xml:space="preserve">dalil.kg/document/12264</w:t>
      </w:r>
    </w:hyperlink>
  </w:p>
  <w:p>
    <w:pPr>
      <w:spacing w:after="0" w:before="40"/>
      <w:jc w:val="center"/>
    </w:pPr>
    <w:hyperlink w:history="1" r:id="rIdk_avqszzzlbsunjp66p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jlwvyif1amrp1vblpfp9" Type="http://schemas.openxmlformats.org/officeDocument/2006/relationships/hyperlink" Target="https://dalil.kg/document/203685" TargetMode="External"/><Relationship Id="rId_m04kkog3qcmpewlfjbe4" Type="http://schemas.openxmlformats.org/officeDocument/2006/relationships/hyperlink" Target="https://dalil.kg/document/12264#p1" TargetMode="External"/><Relationship Id="rIdd9kwhgsld16uvq14d_d7o" Type="http://schemas.openxmlformats.org/officeDocument/2006/relationships/hyperlink" Target="https://dalil.kg/document/12264" TargetMode="External"/><Relationship Id="rIdnzcxlnkge1pvcgpnuflox" Type="http://schemas.openxmlformats.org/officeDocument/2006/relationships/hyperlink" Target="https://dalil.kg/document/203685" TargetMode="External"/><Relationship Id="rId3r1ktqekjcowo317rtf9b" Type="http://schemas.openxmlformats.org/officeDocument/2006/relationships/hyperlink" Target="https://dalil.kg/document/202913" TargetMode="External"/><Relationship Id="rId7o1oqhxlwsjreb15892co" Type="http://schemas.openxmlformats.org/officeDocument/2006/relationships/hyperlink" Target="https://dalil.kg/document/111338" TargetMode="External"/><Relationship Id="rIdecm6dqhhsnryzniwmp_cu" Type="http://schemas.openxmlformats.org/officeDocument/2006/relationships/hyperlink" Target="https://dalil.kg/document/203102" TargetMode="External"/><Relationship Id="rId9biqbwgi6hszi5wc8fuje" Type="http://schemas.openxmlformats.org/officeDocument/2006/relationships/hyperlink" Target="https://dalil.kg/document/202913" TargetMode="External"/><Relationship Id="rIdaqm0jhfk40hkc8btaw141" Type="http://schemas.openxmlformats.org/officeDocument/2006/relationships/hyperlink" Target="https://dalil.kg/document/202913" TargetMode="External"/><Relationship Id="rIdl447htc9monxe06xmxru6" Type="http://schemas.openxmlformats.org/officeDocument/2006/relationships/hyperlink" Target="https://dalil.kg/document/69262" TargetMode="External"/><Relationship Id="rId5teunjyodi8_vhrpyps6c" Type="http://schemas.openxmlformats.org/officeDocument/2006/relationships/hyperlink" Target="https://dalil.kg/document/203685" TargetMode="External"/><Relationship Id="rIdxfnvhbndaqtur00nqg7xr" Type="http://schemas.openxmlformats.org/officeDocument/2006/relationships/hyperlink" Target="https://dalil.kg/document/202591" TargetMode="External"/><Relationship Id="rIdfgecmr5b6h1xe2b68c9ps" Type="http://schemas.openxmlformats.org/officeDocument/2006/relationships/hyperlink" Target="https://dalil.kg/document/202591" TargetMode="External"/><Relationship Id="rIdumzaeh_fzpleflcofibmm"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moip6vlspj_zp-9i_wm" Type="http://schemas.openxmlformats.org/officeDocument/2006/relationships/hyperlink" Target="https://dalil.kg/document/12264" TargetMode="External"/><Relationship Id="rIdk_avqszzzlbsunjp66p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2026-10-02T12:11:23.070Z</dcterms:created>
  <dcterms:modified xsi:type="dcterms:W3CDTF">2026-10-02T12:11:23.070Z</dcterms:modified>
</cp:coreProperties>
</file>

<file path=docProps/custom.xml><?xml version="1.0" encoding="utf-8"?>
<Properties xmlns="http://schemas.openxmlformats.org/officeDocument/2006/custom-properties" xmlns:vt="http://schemas.openxmlformats.org/officeDocument/2006/docPropsVTypes"/>
</file>