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2018 года № 372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целях упорядочивания правил признания и перемещения дипломатической почты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tqzcdpjkq4az--pz_a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2022 года № 500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упорядочивания правил оформления и перемещения официальной корреспонденции Министерства иностранных дел Кыргызской Республики, дипломатических представительств и консульских учреждений Кыргызской Республики за рубежом, центральных внешнеполитических ведомств, дипломатических представительств и консульских учреждений иностранных государств, а также представительств международных организаций, осуществляющих свою деятельность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njpyn6l3z041r-lasle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c9zv39yjy10n4dod0d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1qxesjytidbkkswzbk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оформления и перемещения в Кыргызской Республике и за рубежом официальной корреспонденции, составляющей дипломатическую почту" от 8 мая 2001 года № 212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-7vrzmturrcitm8qlj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оформления и перемещения в Кыргызской Республике и за рубежом официальной корреспонденции, составляющей дипломатическую почту, утвержденных вышеуказанным </w:t>
      </w:r>
      <w:hyperlink w:history="1" r:id="rIdsebzz2cvzidokbovpvi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абзацами вторым-двенадцатым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"Признание официальной корреспонденции дипломатических представительств и консульских учреждений иностранных государств, а также представительств международных организаций, осуществляющих свою деятельность в Кыргызской Республике (далее - иностранные представительства), и соответствующих учреждений общим весом свыше 20 килограммов дипломатической почтой производится на основании заключения подведомственной организации Министерства иностранных дел Кыргызской Республики, обеспечивающей деятельность органов дипломатической службы Кыргызской Республики и (или) осуществляющей сервисное обслуживание иностранных представительств (далее - подведомственная организация).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представительства и соответствующие учреждения для признания официальной корреспонденции дипломатической почтой направляют заявление в подведомственную организацию.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Подведомственная организация в течение 10 рабочих дней с момента подачи заявки рассматривает и выносит мотивированное заключение.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представительства и соответствующие учреждения наряду с заявлением, в зависимости от обстоятельств и целей перемещения товаров, представляют: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заключение внешнеэкономической сделки либо право владения, пользования и (или) распоряжения товарами;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транспортных (перевозочных) документов (международная товаротранспортная накладная, коносамент или иной документ, подтверждающий наличие и содержание договора перевозки, авиагрузовые накладные, железнодорожные накладные);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коммерческих документов (счета-фактуры (инвойсы), спецификации, отгрузочные и упаковочные листы и другие документы, используемые при осуществлении внешнеторговой и (или) иной деятельности);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страну происхождения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дипломатической карты (для дипломатической почты, предназначенной дипломату);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паспорта владельца дипломатической карты (для дипломатической почты, предназначенной дипломату).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форма заключения утверждается решением Министерства иностранных дел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Получение или отправка дипломатической почты общим весом свыше 20 килограммов иностранными представительствами и соответствующими учреждениями на территории Кыргызской Республики осуществляется подведомственной организацией.";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"Дипломатическая почта Кыргызской Республики должна быть упакована в конверт и опечатана или упакована в дипломатическую вализу (закрытое и опломбированное вместилище (сумка, мешок, пакет, коробка, контейнер и т.п.).";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шестым и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"Министерство иностранных дел Кыргызской Республики и дипломатические представительства, и консульские учреждения Кыргызской Республики за рубежом вправе назначать дипломатических курьеров "ad hoc" из числа их штатных сотрудников, их близких родственников (родители, дети, усыновители, усыновленные, полнородные и неполнородные братья и сестры, дедушка, бабушка, внуки), сотрудников других государственных органов, организаций и предприятий Кыргызской Республики, направляющихся в (из) зарубежные страны.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 лиц к дипломатической почте, содержащей документы с грифом "ДСП", "Секретно", "Совершенно секретно", осуществляется с учетом требований законодательства Кыргызской Республики о защите государственных секретов Кыргызской Республики и об определении порядка работы с документами, содержащими информацию для служебного пользования.";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8 после слов "гражданского судна" дополнить словами "Кыргызской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Дипломатическая почта Кыргызской Республики может передаваться и приниматься через сеть почтовых отделений связи в пределах Кыргызской Республики, а также через фельдъегерскую, специальную связь, компании, зарегистрированные в Кыргызской Республике и предоставляющие международные услуги по доставке грузов и почты в рамках заключенных соглашений с Министерством иностранных дел Кыргызской Республики, согласованных с уполномоченным государственным органом в сфере национальной безопасности. Дипломатическая почта принимается, нумеруется, обрабатывается отдельно от другой корреспонденции и отправляется в первоочередном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Упаковка дипломатической почты Кыргызской Республики должна соответствовать характеру вложения, продолжительности пути и условиям пересылки, а также исключать возможность повреждения вложений при перевозке, доступа к ним без нарушения оболочки и причинения какого-либо вреда персоналу предприятий связи. Отправляемая почта должна опечатываться, пломбироваться отправляющей стороной и сопровождается бланком оформления внешней стороны дипломатической почты.";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lxb-wxvucsczqlskhx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 изложить в редакции согласно </w:t>
      </w:r>
      <w:hyperlink w:history="1" r:id="rIddfjqqu85qo4xzpnttu5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qavizv6jvydrchzozg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сентября 2022 года № 500)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m0r0djgmipxly-bxde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
 (название соответствующего учреждения или представительства)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подтверждается, что данная почта является дипломатической почтой Кыргызской Республики 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hyperlink w:history="1" r:id="rIdlce174rnkkhduxbmcyd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Венской Конвенции о дипломатических сношениях</w:t>
        </w:r>
      </w:hyperlink>
      <w:r>
        <w:rPr>
          <w:rFonts w:ascii="Arial" w:cs="Arial" w:eastAsia="Arial" w:hAnsi="Arial"/>
          <w:sz w:val="24"/>
          <w:szCs w:val="24"/>
        </w:rPr>
        <w:t xml:space="preserve"> от 1961 года не может быть вскрыта или задержана (арестована).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Дипломатическая почта отправляется по поручению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(название соответствующего учреждения или представительства)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___________________________________ в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через дипломатического курьера  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дипломатического курьера ad hoc 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сопровождающего лица 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указать)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(фамилия, имя, отчество, серия и № паспорта)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0"/>
        <w:gridCol w:w="3603"/>
        <w:gridCol w:w="3035"/>
      </w:tblGrid>
      <w:tr>
        <w:tc>
          <w:tcPr>
            <w:tcW w:type="dxa" w:w="35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груза</w:t>
            </w:r>
          </w:p>
        </w:tc>
        <w:tc>
          <w:tcPr>
            <w:tcW w:type="dxa" w:w="3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мест</w:t>
            </w:r>
          </w:p>
        </w:tc>
        <w:tc>
          <w:tcPr>
            <w:tcW w:type="dxa" w:w="3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груза</w:t>
            </w:r>
          </w:p>
        </w:tc>
      </w:tr>
      <w:tr>
        <w:tc>
          <w:tcPr>
            <w:tcW w:type="dxa" w:w="3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Коробки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Ящики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Портфели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Пакеты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Свертки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Вализы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Мешки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Контейнеры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уполномоченного лица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соответствующего учреждения, представительства".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cdpidp7lqeehf1vtj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dalil.kg/document/12267</w:t>
      </w:r>
    </w:hyperlink>
  </w:p>
  <w:p>
    <w:pPr>
      <w:spacing w:after="0" w:before="40"/>
      <w:jc w:val="center"/>
    </w:pPr>
    <w:hyperlink w:history="1" r:id="rId-r-2j4czons1l6qvdlj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qzcdpjkq4az--pz_avn" Type="http://schemas.openxmlformats.org/officeDocument/2006/relationships/hyperlink" Target="https://dalil.kg/document/159523" TargetMode="External"/><Relationship Id="rIdnjpyn6l3z041r-lasle1c" Type="http://schemas.openxmlformats.org/officeDocument/2006/relationships/hyperlink" Target="https://dalil.kg/document/203685" TargetMode="External"/><Relationship Id="rIdhc9zv39yjy10n4dod0dfd" Type="http://schemas.openxmlformats.org/officeDocument/2006/relationships/hyperlink" Target="https://dalil.kg/document/6784" TargetMode="External"/><Relationship Id="rIdg1qxesjytidbkkswzbkwv" Type="http://schemas.openxmlformats.org/officeDocument/2006/relationships/hyperlink" Target="https://dalil.kg/document/6785" TargetMode="External"/><Relationship Id="rIdq-7vrzmturrcitm8qlj6s" Type="http://schemas.openxmlformats.org/officeDocument/2006/relationships/hyperlink" Target="https://dalil.kg/document/6785" TargetMode="External"/><Relationship Id="rIdsebzz2cvzidokbovpviqh" Type="http://schemas.openxmlformats.org/officeDocument/2006/relationships/hyperlink" Target="https://dalil.kg/document/6784" TargetMode="External"/><Relationship Id="rIdqlxb-wxvucsczqlskhxug" Type="http://schemas.openxmlformats.org/officeDocument/2006/relationships/hyperlink" Target="https://dalil.kg/document/6785#p2" TargetMode="External"/><Relationship Id="rIddfjqqu85qo4xzpnttu5bi" Type="http://schemas.openxmlformats.org/officeDocument/2006/relationships/hyperlink" Target="https://dalil.kg/document/12267#p1" TargetMode="External"/><Relationship Id="rIdpqavizv6jvydrchzozgwc" Type="http://schemas.openxmlformats.org/officeDocument/2006/relationships/hyperlink" Target="https://dalil.kg/document/159523" TargetMode="External"/><Relationship Id="rIdtm0r0djgmipxly-bxde-a" Type="http://schemas.openxmlformats.org/officeDocument/2006/relationships/hyperlink" Target="https://dalil.kg/document/6785#p2" TargetMode="External"/><Relationship Id="rIdlce174rnkkhduxbmcydxs" Type="http://schemas.openxmlformats.org/officeDocument/2006/relationships/hyperlink" Target="https://dalil.kg/document/1750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cdpidp7lqeehf1vtjn4" Type="http://schemas.openxmlformats.org/officeDocument/2006/relationships/hyperlink" Target="https://dalil.kg/document/12267" TargetMode="External"/><Relationship Id="rId-r-2j4czons1l6qvdljj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2026-09-25T00:08:43.845Z</dcterms:created>
  <dcterms:modified xsi:type="dcterms:W3CDTF">2026-09-25T00:08:43.845Z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