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msxa9tmfwkukwcvk-w4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июня 2019 года № 270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августа 2018 года № 393</w:t>
      </w:r>
    </w:p>
    <w:p>
      <w:pPr>
        <w:spacing w:after="240" w:before="2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2019-2021 годы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w:t>
      </w:r>
      <w:hyperlink w:history="1" r:id="rId5ro5qt8z3ici8apog_ujv">
        <w:r>
          <w:rPr>
            <w:rFonts w:ascii="Arial" w:cs="Arial" w:eastAsia="Arial" w:hAnsi="Arial"/>
            <w:color w:val="1D4ED8"/>
            <w:sz w:val="24"/>
            <w:szCs w:val="24"/>
            <w:u w:val="single"/>
          </w:rPr>
          <w:t xml:space="preserve">Бюджетным кодексом</w:t>
        </w:r>
      </w:hyperlink>
      <w:r>
        <w:rPr>
          <w:rFonts w:ascii="Arial" w:cs="Arial" w:eastAsia="Arial" w:hAnsi="Arial"/>
          <w:sz w:val="24"/>
          <w:szCs w:val="24"/>
        </w:rPr>
        <w:t xml:space="preserve"> Кыргызской Республики, </w:t>
      </w:r>
      <w:hyperlink w:history="1" r:id="rIdxd-_zbo8fbqmd3zggq5t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gzvnk8p7hyclxvqqr2rj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cizxiv47unqr2qa4fpd0">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2019-2021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2019-2021 годы принять за основу утвержденные макроэкономические параметры развития Кыргызской Республики на 2019-2021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120"/>
        <w:jc w:val="both"/>
      </w:pPr>
      <w:r>
        <w:rPr>
          <w:rFonts w:ascii="Arial" w:cs="Arial" w:eastAsia="Arial" w:hAnsi="Arial"/>
          <w:sz w:val="24"/>
          <w:szCs w:val="24"/>
        </w:rPr>
        <w:t xml:space="preserve">- принять за основу утвержденные макроэкономические параметры развития на 2019-2021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2018 год.</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2018 год;</w:t>
      </w:r>
    </w:p>
    <w:p>
      <w:pPr>
        <w:spacing w:after="120"/>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2019-2021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bvxsm4holc8fq2jdbei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2018-2020 годы» от 13 июня 2017 года № 368.</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социально-экономического развития</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2019-2021 годы является определение количественных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w:t>
      </w:r>
    </w:p>
    <w:p>
      <w:pPr>
        <w:spacing w:after="120"/>
        <w:jc w:val="both"/>
      </w:pPr>
      <w:r>
        <w:rPr>
          <w:rFonts w:ascii="Arial" w:cs="Arial" w:eastAsia="Arial" w:hAnsi="Arial"/>
          <w:sz w:val="24"/>
          <w:szCs w:val="24"/>
        </w:rPr>
        <w:t xml:space="preserve">В Среднесрочном прогнозе определены основные направления развития отраслей экономики, включая детализированное описание их прогнозных значений, и перспективы развития экономики страны на базе официальных прогнозов отраслевых министерств, государственных комитетов, административных ведомств и аппаратов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Сценарий среднесрочного прогноза одобрен Координационным советом по макроэкономической и инвестиционной политике при Правительстве Кыргызской Республики и подготовлен на основе анализа тенденций развития экономики в 2017 году с учетом факторов/рисков сложившейся фактической ситуации.</w:t>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2019-2021 годы является основой для разработки проекта Основных направлений фискальной политики Кыргызской Республики на 2019-2021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итоги социально-экономического развития в 2017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национальной экономики в 2017 году происходило на фоне продолжения восстановления мирового цикла, начавшегося в середине 2016 года, улучшения экономической активности в экономиках </w:t>
      </w:r>
      <w:r>
        <w:rPr>
          <w:rFonts w:ascii="Arial" w:cs="Arial" w:eastAsia="Arial" w:hAnsi="Arial"/>
          <w:sz w:val="24"/>
          <w:szCs w:val="24"/>
        </w:rPr>
        <w:t xml:space="preserve">стран – основных торговых партнеров Кыргызской Республик</w:t>
      </w:r>
      <w:r>
        <w:rPr>
          <w:rFonts w:ascii="Arial" w:cs="Arial" w:eastAsia="Arial" w:hAnsi="Arial"/>
          <w:sz w:val="24"/>
          <w:szCs w:val="24"/>
        </w:rPr>
        <w:t xml:space="preserve">и, уменьшения геополитических рисков и внутриполитической неопределенности в странах Европы и Центральной Азии.</w:t>
      </w:r>
    </w:p>
    <w:p>
      <w:pPr>
        <w:spacing w:after="120"/>
        <w:jc w:val="both"/>
      </w:pPr>
      <w:r>
        <w:rPr>
          <w:rFonts w:ascii="Arial" w:cs="Arial" w:eastAsia="Arial" w:hAnsi="Arial"/>
          <w:sz w:val="24"/>
          <w:szCs w:val="24"/>
        </w:rPr>
        <w:t xml:space="preserve">2017 год стал для мировой экономики успешным не только с точки зрения поддержания макроэкономической стабильности, но и динамики реального сектора экономики. Циклический подъем, который начался в середине 2016 года, наблюдался на протяжении всего 2017 года. Ускорение роста наблюдалось во многих странах (около 120 – три четверти мирового </w:t>
      </w:r>
      <w:r>
        <w:rPr>
          <w:rFonts w:ascii="Arial" w:cs="Arial" w:eastAsia="Arial" w:hAnsi="Arial"/>
          <w:sz w:val="24"/>
          <w:szCs w:val="24"/>
        </w:rPr>
        <w:t xml:space="preserve">валового внутреннего продукта (далее – ВВП</w:t>
      </w:r>
      <w:r>
        <w:rPr>
          <w:rFonts w:ascii="Arial" w:cs="Arial" w:eastAsia="Arial" w:hAnsi="Arial"/>
          <w:sz w:val="24"/>
          <w:szCs w:val="24"/>
        </w:rPr>
        <w:t xml:space="preserve">), что стало одним из определяющих моментов для развития мировой экономики, поскольку наблюдался синхронизированный подъем, который мировая экономика не испытывала с 2010 года.</w:t>
      </w:r>
    </w:p>
    <w:p>
      <w:pPr>
        <w:spacing w:after="120"/>
        <w:jc w:val="both"/>
      </w:pPr>
      <w:r>
        <w:rPr>
          <w:rFonts w:ascii="Arial" w:cs="Arial" w:eastAsia="Arial" w:hAnsi="Arial"/>
          <w:sz w:val="24"/>
          <w:szCs w:val="24"/>
        </w:rPr>
        <w:t xml:space="preserve">Для мировой экономики 2017 год стал значимым и обозначен рядом событий:</w:t>
      </w:r>
    </w:p>
    <w:p>
      <w:pPr>
        <w:spacing w:after="120"/>
        <w:jc w:val="both"/>
      </w:pPr>
      <w:r>
        <w:rPr>
          <w:rFonts w:ascii="Arial" w:cs="Arial" w:eastAsia="Arial" w:hAnsi="Arial"/>
          <w:sz w:val="24"/>
          <w:szCs w:val="24"/>
        </w:rPr>
        <w:t xml:space="preserve">расширение соглашения стран ОПЕК+ о продлении соглашения о снижении производства добычи нефти на девять месяцев, до марта 2018 года, поддержало цены на нефть. Цены повысились примерно на 20 % с августа 2017 года до середины декабря 2017 года и превысили 60 долларов США за баррель. Увеличение цен на топливо привело к росту общей инфляции в странах с развитой экономикой, но рост заработной платы и базовая инфляция остались низкими;</w:t>
      </w:r>
    </w:p>
    <w:p>
      <w:pPr>
        <w:spacing w:after="120"/>
        <w:jc w:val="both"/>
      </w:pPr>
      <w:r>
        <w:rPr>
          <w:rFonts w:ascii="Arial" w:cs="Arial" w:eastAsia="Arial" w:hAnsi="Arial"/>
          <w:sz w:val="24"/>
          <w:szCs w:val="24"/>
        </w:rPr>
        <w:t xml:space="preserve">в течение года наблюдалось постепенное ужесточение политики Федеральной резервной системы Соединенных Штатов Америки (далее – ФРС). Регулятор повышал ставку три раза: в марте – до 0,75-1,0 %</w:t>
      </w:r>
      <w:r>
        <w:rPr>
          <w:rFonts w:ascii="Arial" w:cs="Arial" w:eastAsia="Arial" w:hAnsi="Arial"/>
          <w:sz w:val="24"/>
          <w:szCs w:val="24"/>
        </w:rPr>
        <w:t xml:space="preserve">[1]</w:t>
      </w:r>
      <w:r>
        <w:rPr>
          <w:rFonts w:ascii="Arial" w:cs="Arial" w:eastAsia="Arial" w:hAnsi="Arial"/>
          <w:sz w:val="24"/>
          <w:szCs w:val="24"/>
        </w:rPr>
        <w:t xml:space="preserve">, июне — до 1,0–1,25 % и декабре до – 1,25–1,5 % годовых. Такое решение было принято на фоне рекордно низкой безработицы и в целом улучшения экономической ситуации. В экономике Соединенных Штатов Америки (далее – США) наблюдалось сочетание низкой безработицы и низкой инфляции. Дальнейшее улучшение ситуации на американском рынке труда могло привести к более резкому росту заработных плат;</w:t>
      </w:r>
    </w:p>
    <w:p>
      <w:pPr>
        <w:spacing w:after="120"/>
        <w:jc w:val="both"/>
      </w:pPr>
      <w:r>
        <w:rPr>
          <w:rFonts w:ascii="Arial" w:cs="Arial" w:eastAsia="Arial" w:hAnsi="Arial"/>
          <w:sz w:val="24"/>
          <w:szCs w:val="24"/>
        </w:rPr>
        <w:t xml:space="preserve">в 2017 году наблюдалась волатильность на фондовых рынках. С начала 2017 года ключевые фондовые индексы США демонстрировали </w:t>
      </w:r>
      <w:r>
        <w:rPr>
          <w:rFonts w:ascii="Arial" w:cs="Arial" w:eastAsia="Arial" w:hAnsi="Arial"/>
          <w:sz w:val="24"/>
          <w:szCs w:val="24"/>
        </w:rPr>
        <w:t xml:space="preserve">рекордные значения роста</w:t>
      </w:r>
      <w:r>
        <w:rPr>
          <w:rFonts w:ascii="Arial" w:cs="Arial" w:eastAsia="Arial" w:hAnsi="Arial"/>
          <w:sz w:val="24"/>
          <w:szCs w:val="24"/>
        </w:rPr>
        <w:t xml:space="preserve">, что стало тревожным знаком для аналитиков о наметившихся признаках возможного падения американского рынка акций. Такая ситуация на рынке сложилась по причине высоких корпоративных доходов, ожидания пересмотра налогового кодекса США и денежно-кредитной политики ФРС;</w:t>
      </w:r>
    </w:p>
    <w:p>
      <w:pPr>
        <w:spacing w:after="120"/>
        <w:jc w:val="both"/>
      </w:pPr>
      <w:r>
        <w:rPr>
          <w:rFonts w:ascii="Arial" w:cs="Arial" w:eastAsia="Arial" w:hAnsi="Arial"/>
          <w:sz w:val="24"/>
          <w:szCs w:val="24"/>
        </w:rPr>
        <w:t xml:space="preserve">рост на рынках сырьевых товаров. Осенью 2017 года наблюдалось повышение цен на основные промышленные металлы, а по отдельным позициям редких металлов 2017 год отмечен как рекордный. За 2017 год цены на железную руду увеличились на треть, что связано с ростом мировой экономики и рынка недвижимости, восстановлением автомобильной промышленности в США и Европе, а также с ожиданиями сокращения производства в Китайской Народной Республике (далее – Китай) связанных с борьбой с загрязнением окружающей среды и торговыми войнами стран-производителей;</w:t>
      </w:r>
    </w:p>
    <w:p>
      <w:pPr>
        <w:spacing w:after="120"/>
        <w:jc w:val="both"/>
      </w:pPr>
      <w:r>
        <w:rPr>
          <w:rFonts w:ascii="Arial" w:cs="Arial" w:eastAsia="Arial" w:hAnsi="Arial"/>
          <w:sz w:val="24"/>
          <w:szCs w:val="24"/>
        </w:rPr>
        <w:t xml:space="preserve">на мировом валютном рынке также наблюдалась некоторая волатильность. Ключевым моментом стало то, как Китай обошел снижение темпов экономического роста, а Европа не допустила беспорядков и потери Греции. В результате такие события привели к снижению курса доллара США по отношению к курсам евро и юаня. Также наблюдалась девальвация доллара США по отношению к ряду других мировых валют, что позволило оказать определенную поддержку растущим экономикам.</w:t>
      </w:r>
    </w:p>
    <w:p>
      <w:pPr>
        <w:spacing w:after="120"/>
        <w:jc w:val="both"/>
      </w:pPr>
      <w:r>
        <w:rPr>
          <w:rFonts w:ascii="Arial" w:cs="Arial" w:eastAsia="Arial" w:hAnsi="Arial"/>
          <w:sz w:val="24"/>
          <w:szCs w:val="24"/>
        </w:rPr>
        <w:t xml:space="preserve">Данные факторы отразились на результатах развития мировой экономики. В 2017 году наблюдалось восстановление мировой экономики после замедления в 2014-2016 годах и прирост составил 3,8 %</w:t>
      </w:r>
      <w:r>
        <w:rPr>
          <w:rFonts w:ascii="Arial" w:cs="Arial" w:eastAsia="Arial" w:hAnsi="Arial"/>
          <w:sz w:val="24"/>
          <w:szCs w:val="24"/>
        </w:rPr>
        <w:t xml:space="preserve">[2]</w:t>
      </w:r>
      <w:r>
        <w:rPr>
          <w:rFonts w:ascii="Arial" w:cs="Arial" w:eastAsia="Arial" w:hAnsi="Arial"/>
          <w:sz w:val="24"/>
          <w:szCs w:val="24"/>
        </w:rPr>
        <w:t xml:space="preserve">. В странах с развитой экономикой экономический рост сложился выше, чем прогнозировалось многими международными организациями (особенно в Германии, Корее, США и Японии). Страны с формирующимся рынком и развивающиеся страны (Бразилия, Китай и Южная Африка) также имели более высокий рост, чем предусматривалось.</w:t>
      </w:r>
    </w:p>
    <w:p>
      <w:pPr>
        <w:spacing w:after="120"/>
        <w:jc w:val="both"/>
      </w:pPr>
      <w:r>
        <w:rPr>
          <w:rFonts w:ascii="Arial" w:cs="Arial" w:eastAsia="Arial" w:hAnsi="Arial"/>
          <w:sz w:val="24"/>
          <w:szCs w:val="24"/>
        </w:rPr>
        <w:t xml:space="preserve">Экономика еврозоны набрала значительный импульс и завершила 2017 год сильным ростом. По итогам 2017 года экономический рост еврозоны составил 2,3 %</w:t>
      </w:r>
      <w:r>
        <w:rPr>
          <w:rFonts w:ascii="Arial" w:cs="Arial" w:eastAsia="Arial" w:hAnsi="Arial"/>
          <w:sz w:val="24"/>
          <w:szCs w:val="24"/>
        </w:rPr>
        <w:t xml:space="preserve">[3]</w:t>
      </w:r>
      <w:r>
        <w:rPr>
          <w:rFonts w:ascii="Arial" w:cs="Arial" w:eastAsia="Arial" w:hAnsi="Arial"/>
          <w:sz w:val="24"/>
          <w:szCs w:val="24"/>
        </w:rPr>
        <w:t xml:space="preserve">. Это максимальные темпы роста за десятилетие. Улучшения были связаны со стимулированием политики и укреплением глобального спроса. В 2017 году уровень безработицы снизился до 8,7 % (минимальное значение за 2007-2017 годы), причиной которого стал рост занятости во всех основных отраслях экономики. Проводимые Европейским центральным банком денежно-кредитная политика и политика в области программы количественного смягчения оказали положительное влияние на восстановление экономической активности и нормализацию инфляции.</w:t>
      </w:r>
    </w:p>
    <w:p>
      <w:pPr>
        <w:spacing w:after="120"/>
        <w:jc w:val="both"/>
      </w:pPr>
      <w:r>
        <w:rPr>
          <w:rFonts w:ascii="Arial" w:cs="Arial" w:eastAsia="Arial" w:hAnsi="Arial"/>
          <w:sz w:val="24"/>
          <w:szCs w:val="24"/>
        </w:rPr>
        <w:t xml:space="preserve">В 2017 году экономический рост в США составил 2,3 % (в 2016 году составлял 1,5 %</w:t>
      </w:r>
      <w:r>
        <w:rPr>
          <w:rFonts w:ascii="Arial" w:cs="Arial" w:eastAsia="Arial" w:hAnsi="Arial"/>
          <w:sz w:val="24"/>
          <w:szCs w:val="24"/>
        </w:rPr>
        <w:t xml:space="preserve">[4]</w:t>
      </w:r>
      <w:r>
        <w:rPr>
          <w:rFonts w:ascii="Arial" w:cs="Arial" w:eastAsia="Arial" w:hAnsi="Arial"/>
          <w:sz w:val="24"/>
          <w:szCs w:val="24"/>
        </w:rPr>
        <w:t xml:space="preserve">). В течение 2017 года ФРС три раза повышена базовая процентная ставка: с 0,5-0,75 до 1,25-1,5 % годовых, что привело к девальвации доллара США по отношению к корзине основных валют (евро, иена, фунт стерлингов, канадский доллар, шведская крона и швейцарский франк), который с начала 2017 года обесценился на 8 %. Оживление в 2017 году на американском фондовом рынке было связано с политикой, проводимой новым президентом США.</w:t>
      </w:r>
    </w:p>
    <w:p>
      <w:pPr>
        <w:spacing w:after="120"/>
        <w:jc w:val="both"/>
      </w:pPr>
      <w:r>
        <w:rPr>
          <w:rFonts w:ascii="Arial" w:cs="Arial" w:eastAsia="Arial" w:hAnsi="Arial"/>
          <w:sz w:val="24"/>
          <w:szCs w:val="24"/>
        </w:rPr>
        <w:t xml:space="preserve">Экономический рост в Китае по итогам 2017 года приблизился впервые к своему историческому максимуму, которого не было с 2010 года, на фоне восстановления мирового роста (темпы прироста в 2016 году составляли 6,7 %2), что является знаком о постепенном восстановлении мировой экономики. Темпы роста ВВП Китая составили 6,9 % благодаря фискальной поддержке, а также более сильного, чем ожидалось восстановления экспорта и небольшого положительного вклада чистой торговли. Торговые потоки Китая заметно восстановились в 2017 году, однако инфляция неуклонно росла в течение года, но оставалась ниже целевого показателя. Несмотря на ужесточение денежно-кредитной политики в 2017 году, общий объем задолженности нефинансового сектора продолжал расти и оставался достаточно высоким.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Темпы роста мировой экономики,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8"/>
        <w:gridCol w:w="2961"/>
        <w:gridCol w:w="3159"/>
      </w:tblGrid>
      <w:tr>
        <w:tc>
          <w:tcPr>
            <w:tcW w:type="dxa" w:w="405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Страны</w:t>
            </w:r>
          </w:p>
        </w:tc>
        <w:tc>
          <w:tcPr>
            <w:tcW w:type="dxa" w:w="29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p>
            <w:pPr>
              <w:jc w:val="left"/>
            </w:pPr>
            <w:r>
              <w:rPr>
                <w:rFonts w:ascii="Arial" w:cs="Arial" w:eastAsia="Arial" w:hAnsi="Arial"/>
                <w:sz w:val="24"/>
                <w:szCs w:val="24"/>
              </w:rPr>
              <w:t xml:space="preserve">факт</w:t>
            </w:r>
          </w:p>
        </w:tc>
        <w:tc>
          <w:tcPr>
            <w:tcW w:type="dxa" w:w="31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p>
            <w:pPr>
              <w:jc w:val="left"/>
            </w:pPr>
            <w:r>
              <w:rPr>
                <w:rFonts w:ascii="Arial" w:cs="Arial" w:eastAsia="Arial" w:hAnsi="Arial"/>
                <w:sz w:val="24"/>
                <w:szCs w:val="24"/>
              </w:rPr>
              <w:t xml:space="preserve">предв. факт</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экономики государств-членов Евразийского экономического союза (далее – ЕАЭС) происходило на фоне восстановления мировой экономики, преодоления негативных последствий, продолжающихся в течение нескольких лет. Систематизация внешних и внутренних дисбалансов, совершенствование основ макроэкономической политики, а также адаптация к более низким ценам на сырьевые товары позволили создать более прочную основу для восстановления экономического роста в государствах-членах ЕАЭС. Значительный вклад внесли стимулирующие меры политики и восстановление частного потребления. После 4-х лет сокращения торговля между государствами-членами ЕАЭС начала восстанавливаться. Увеличение объемов денежных переводов способствовало поддержанию потребительской активности, хотя в некоторых странах их значимость несколько снизилась.</w:t>
      </w:r>
    </w:p>
    <w:p>
      <w:pPr>
        <w:spacing w:after="120"/>
        <w:jc w:val="both"/>
      </w:pPr>
      <w:r>
        <w:rPr>
          <w:rFonts w:ascii="Arial" w:cs="Arial" w:eastAsia="Arial" w:hAnsi="Arial"/>
          <w:sz w:val="24"/>
          <w:szCs w:val="24"/>
        </w:rPr>
        <w:t xml:space="preserve">Темпы экономического роста во всех </w:t>
      </w:r>
      <w:r>
        <w:rPr>
          <w:rFonts w:ascii="Arial" w:cs="Arial" w:eastAsia="Arial" w:hAnsi="Arial"/>
          <w:sz w:val="24"/>
          <w:szCs w:val="24"/>
        </w:rPr>
        <w:t xml:space="preserve">государствах-членах ЕАЭС</w:t>
      </w:r>
      <w:r>
        <w:rPr>
          <w:rFonts w:ascii="Arial" w:cs="Arial" w:eastAsia="Arial" w:hAnsi="Arial"/>
          <w:sz w:val="24"/>
          <w:szCs w:val="24"/>
        </w:rPr>
        <w:t xml:space="preserve">, кроме Российской Федерации (</w:t>
      </w:r>
      <w:r>
        <w:rPr>
          <w:rFonts w:ascii="Arial" w:cs="Arial" w:eastAsia="Arial" w:hAnsi="Arial"/>
          <w:sz w:val="24"/>
          <w:szCs w:val="24"/>
        </w:rPr>
        <w:t xml:space="preserve">далее – </w:t>
      </w:r>
      <w:r>
        <w:rPr>
          <w:rFonts w:ascii="Arial" w:cs="Arial" w:eastAsia="Arial" w:hAnsi="Arial"/>
          <w:sz w:val="24"/>
          <w:szCs w:val="24"/>
        </w:rPr>
        <w:t xml:space="preserve">Россия), оказались выше национальных прогнозов и прогнозов международных экономических организаций. По итогам года наиболее высокие показатели демонстрировали Республика Армения (далее – Армения), Республика Казахстан (далее – Казахстан) и Кыргызская Республика – 107,5 %, 104,0 % и 104,6 % соответственно. Темпы прироста ВВП в Республике Беларусь (далее – Беларусь) и России относительно других государств-членов ЕАЭС оставались невысокими: 2,4 % и 1,5 % соответственно. При этом Армения и Беларусь достигли максимальных темпов экономического роста с 2013 года. Экономика России в 2017 году начала восстанавливаться после двухгодичного падения, но не достигла докризисных темпов роста. В Казахстане и Кыргызстане наблюдалась похожая ситуация: экономика данных стран росла более высокими темпами по сравнению с 2015-2016 годами, однако все еще ниже докризисных темпов экономического роста.</w:t>
      </w:r>
    </w:p>
    <w:p>
      <w:pPr>
        <w:spacing w:after="120"/>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Показатели социально-экономического развития государств-членов ЕАЭС</w:t>
      </w:r>
      <w:r>
        <w:rPr>
          <w:rFonts w:ascii="Arial" w:cs="Arial" w:eastAsia="Arial" w:hAnsi="Arial"/>
          <w:b/>
          <w:bCs/>
          <w:sz w:val="32"/>
          <w:szCs w:val="32"/>
        </w:rPr>
        <w:t xml:space="preserve">[5]</w:t>
      </w:r>
      <w:r>
        <w:rPr>
          <w:rFonts w:ascii="Arial" w:cs="Arial" w:eastAsia="Arial" w:hAnsi="Arial"/>
          <w:b/>
          <w:bCs/>
          <w:sz w:val="32"/>
          <w:szCs w:val="32"/>
        </w:rPr>
        <w:t xml:space="preserve">,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12"/>
        <w:gridCol w:w="1680"/>
        <w:gridCol w:w="1986"/>
      </w:tblGrid>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прироста ВВП, в %</w:t>
            </w:r>
          </w:p>
        </w:tc>
        <w:tc>
          <w:tcPr>
            <w:tcW w:type="dxa" w:w="16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6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w:t>
            </w:r>
          </w:p>
          <w:p>
            <w:pPr>
              <w:jc w:val="left"/>
            </w:pPr>
            <w:r>
              <w:rPr>
                <w:rFonts w:ascii="Arial" w:cs="Arial" w:eastAsia="Arial" w:hAnsi="Arial"/>
                <w:sz w:val="24"/>
                <w:szCs w:val="24"/>
              </w:rPr>
              <w:t xml:space="preserve">январь-декабрь к январю-декабрю, в %</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Инфляция (ИПЦ), декабрь к декабрю, в %</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фоне сложившихся макроэкономических условий в государствах-членах ЕАЭС и странах – основных торговых партнерах, основными результатами итогов развития Кыргызской Республики за 2017 год стали обеспечение макроэкономической и социальной стабильности в стране, выход промышленного производства на устойчивую положительную динамику темпов роста (рост на 11,5 % за 2017 год), где наблюдалась в 2014-2015 годах отрицательная тенденция роста; наращивание объемов экспорта товаров и увеличение темпов роста внешнеторгового оборота. Увеличился чистый приток денежных переводов физических лиц, осуществляемых через системы переводов, на 24,2 %, которые за 2017 год составили 2030,5 млн долларов США.</w:t>
      </w:r>
    </w:p>
    <w:p>
      <w:pPr>
        <w:spacing w:after="120"/>
        <w:jc w:val="both"/>
      </w:pPr>
      <w:r>
        <w:rPr>
          <w:rFonts w:ascii="Arial" w:cs="Arial" w:eastAsia="Arial" w:hAnsi="Arial"/>
          <w:sz w:val="24"/>
          <w:szCs w:val="24"/>
        </w:rPr>
        <w:t xml:space="preserve">В течение 2017 года Правительством Кыргызской Республики (далее – Правительство) принимались меры, направленные на минимизацию внешних факторов риска, создание благоприятных условий для развития предпринимательства (снижение административного бремени; проведение фискальной политики, ориентированной на либерализацию; улучшение доступа предпринимателей к финансовым ресурсам; принятие мер по сохранению устойчивости индекса потребительских цен и т.д.).</w:t>
      </w:r>
    </w:p>
    <w:p>
      <w:pPr>
        <w:spacing w:after="120"/>
        <w:jc w:val="both"/>
      </w:pPr>
      <w:r>
        <w:rPr>
          <w:rFonts w:ascii="Arial" w:cs="Arial" w:eastAsia="Arial" w:hAnsi="Arial"/>
          <w:sz w:val="24"/>
          <w:szCs w:val="24"/>
        </w:rPr>
        <w:t xml:space="preserve">Действия Правительства были направлены на своевременную и качественную реализацию планов действий Правительства Кыргызской Республики по реализации Программы Правительства Кыргызской Республики.</w:t>
      </w:r>
    </w:p>
    <w:p>
      <w:pPr>
        <w:spacing w:after="120"/>
        <w:jc w:val="both"/>
      </w:pPr>
      <w:r>
        <w:rPr>
          <w:rFonts w:ascii="Arial" w:cs="Arial" w:eastAsia="Arial" w:hAnsi="Arial"/>
          <w:sz w:val="24"/>
          <w:szCs w:val="24"/>
        </w:rPr>
        <w:t xml:space="preserve">По итогам 2017 года экономический рост составил 104,6 %, объем ВВП сложился в сумме 521,0 млрд сомов. Без учета предприятий по разработке месторождения Кумтор, темп реального роста ВВП составил 104,7 %.</w:t>
      </w:r>
    </w:p>
    <w:p>
      <w:pPr>
        <w:spacing w:after="120"/>
        <w:jc w:val="both"/>
      </w:pPr>
      <w:r>
        <w:rPr>
          <w:rFonts w:ascii="Arial" w:cs="Arial" w:eastAsia="Arial" w:hAnsi="Arial"/>
          <w:sz w:val="24"/>
          <w:szCs w:val="24"/>
        </w:rPr>
        <w:t xml:space="preserve">Экономический рост обеспечен всеми отраслями экономики, в том числе: в сельском хозяйстве объемы реально возросли на 2,2 %, строительстве – на 7,1 %, сфере услуг – на 2,6 %. Основным драйвером экономического роста стала промышленная отрасль, вклад которой в ВВП составил 1,9 процентных пункта, с темпом реального роста в 10,3 %, за счет роста производства основных металлов, высоких показателей добычи металлургических руд, увеличения производства электроэнергии, ее передачи и распределения.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6"/>
        <w:gridCol w:w="1286"/>
        <w:gridCol w:w="917"/>
        <w:gridCol w:w="1092"/>
        <w:gridCol w:w="1408"/>
        <w:gridCol w:w="910"/>
        <w:gridCol w:w="991"/>
        <w:gridCol w:w="1018"/>
      </w:tblGrid>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476331,2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86575,6</w:t>
            </w:r>
          </w:p>
        </w:tc>
        <w:tc>
          <w:tcPr>
            <w:tcW w:type="dxa" w:w="9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94901,5</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61134,6</w:t>
            </w:r>
          </w:p>
        </w:tc>
        <w:tc>
          <w:tcPr>
            <w:tcW w:type="dxa" w:w="9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64225,1</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39873,3</w:t>
            </w:r>
          </w:p>
        </w:tc>
        <w:tc>
          <w:tcPr>
            <w:tcW w:type="dxa" w:w="9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42933,9</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226215,7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47,5</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249806,1</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62532,0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69092,0</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годовой инфляции в декабре сложилось на уровне 103,7 % (декабрь 2017 года к декабрю 2016 года), а его среднегодовое значение составило 103,2 % (к соответствующему периоду 2016 года). Общий уровень цен формировался под влиянием эффекта принятых мер денежно-кредитной политики; благоприятной ситуации на внешних продовольственных рынках; высокого урожая зерновых в странах-торговых партнерах Кыргызской Республики; удорожания цен на ГСМ на внутреннем рынке и т.д. </w:t>
      </w:r>
      <w:r>
        <w:rPr>
          <w:rFonts w:ascii="Arial" w:cs="Arial" w:eastAsia="Arial" w:hAnsi="Arial"/>
          <w:sz w:val="24"/>
          <w:szCs w:val="24"/>
        </w:rPr>
        <w:t xml:space="preserve">Национальный банк Кыргызской Республики (далее – Национальный банк) </w:t>
      </w:r>
      <w:r>
        <w:rPr>
          <w:rFonts w:ascii="Arial" w:cs="Arial" w:eastAsia="Arial" w:hAnsi="Arial"/>
          <w:sz w:val="24"/>
          <w:szCs w:val="24"/>
        </w:rPr>
        <w:t xml:space="preserve">благодаря умеренному инфляционному давлению в стране придерживался ранее избранного курса денежно-кредитной политики, который оказывал поддерживающее влияние на экономическую активность. В результате принятых мер за отчетный период наблюдался умеренный рост цен.</w:t>
      </w:r>
    </w:p>
    <w:p>
      <w:pPr>
        <w:spacing w:after="120"/>
        <w:jc w:val="both"/>
      </w:pPr>
      <w:r>
        <w:rPr>
          <w:rFonts w:ascii="Arial" w:cs="Arial" w:eastAsia="Arial" w:hAnsi="Arial"/>
          <w:sz w:val="24"/>
          <w:szCs w:val="24"/>
        </w:rPr>
        <w:t xml:space="preserve">Кредит в экономику</w:t>
      </w:r>
      <w:r>
        <w:rPr>
          <w:rFonts w:ascii="Arial" w:cs="Arial" w:eastAsia="Arial" w:hAnsi="Arial"/>
          <w:sz w:val="24"/>
          <w:szCs w:val="24"/>
        </w:rPr>
        <w:t xml:space="preserve">[6]</w:t>
      </w:r>
      <w:r>
        <w:rPr>
          <w:rFonts w:ascii="Arial" w:cs="Arial" w:eastAsia="Arial" w:hAnsi="Arial"/>
          <w:sz w:val="24"/>
          <w:szCs w:val="24"/>
        </w:rPr>
        <w:t xml:space="preserve"> в 2017 году составил 110,5 млрд сомов, увеличившись с начала 2017 года на 15,7 %.</w:t>
      </w:r>
    </w:p>
    <w:p>
      <w:pPr>
        <w:spacing w:after="120"/>
        <w:jc w:val="both"/>
      </w:pPr>
      <w:r>
        <w:rPr>
          <w:rFonts w:ascii="Arial" w:cs="Arial" w:eastAsia="Arial" w:hAnsi="Arial"/>
          <w:sz w:val="24"/>
          <w:szCs w:val="24"/>
        </w:rPr>
        <w:t xml:space="preserve">При этом объем кредитного портфеля банков в 2017 году составил 108,3 млрд сомов, увеличившись с начала 2017 года на 15,9 %. Рост кредитного портфеля был обеспечен увеличением кредитов в национальной валюте на 29,6 %, а в иностранной валюте было отмечено снижение на 1,2 %. Объемы выданных потребительских кредитов выросли за 2017 год по сравнению с 2016 годом на 21,8 %.</w:t>
      </w:r>
    </w:p>
    <w:p>
      <w:pPr>
        <w:spacing w:after="120"/>
        <w:jc w:val="both"/>
      </w:pPr>
      <w:r>
        <w:rPr>
          <w:rFonts w:ascii="Arial" w:cs="Arial" w:eastAsia="Arial" w:hAnsi="Arial"/>
          <w:sz w:val="24"/>
          <w:szCs w:val="24"/>
        </w:rPr>
        <w:t xml:space="preserve">Отмечалось снижение уровня «долларизации» кредитов банковского сектора с начала года с 44,5 % до 38,0 %, уровня «долларизации» депозитов банковского сектора с 51,0 % до 47,5 %.</w:t>
      </w:r>
    </w:p>
    <w:p>
      <w:pPr>
        <w:spacing w:after="120"/>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0"/>
        <w:gridCol w:w="1908"/>
        <w:gridCol w:w="1749"/>
      </w:tblGrid>
      <w:tr>
        <w:tc>
          <w:tcPr>
            <w:tcW w:type="dxa" w:w="65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ИПЦ</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r>
      <w:tr>
        <w:tc>
          <w:tcPr>
            <w:tcW w:type="dxa" w:w="6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6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с соответствующему периоду предыдущего года (среднегодовое значение)</w:t>
            </w:r>
          </w:p>
        </w:tc>
        <w:tc>
          <w:tcPr>
            <w:tcW w:type="dxa" w:w="1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Уменьшился уровень капитализации экономики на 0,6 процентных пункта до 27,8 % в 2017 году. Поступление прямых иностранных инвестиций за 2017 год уменьшилось на 27,5 %.</w:t>
      </w:r>
    </w:p>
    <w:p>
      <w:pPr>
        <w:spacing w:after="120"/>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Динамика роста инвестиции в основной капитал за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90"/>
        <w:gridCol w:w="1701"/>
        <w:gridCol w:w="1787"/>
      </w:tblGrid>
      <w:tr>
        <w:tc>
          <w:tcPr>
            <w:tcW w:type="dxa" w:w="669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7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p>
            <w:pPr>
              <w:jc w:val="left"/>
            </w:pPr>
            <w:r>
              <w:rPr>
                <w:rFonts w:ascii="Arial" w:cs="Arial" w:eastAsia="Arial" w:hAnsi="Arial"/>
                <w:sz w:val="24"/>
                <w:szCs w:val="24"/>
              </w:rPr>
              <w:t xml:space="preserve">факт</w:t>
            </w:r>
          </w:p>
        </w:tc>
        <w:tc>
          <w:tcPr>
            <w:tcW w:type="dxa" w:w="1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p>
            <w:pPr>
              <w:jc w:val="left"/>
            </w:pPr>
            <w:r>
              <w:rPr>
                <w:rFonts w:ascii="Arial" w:cs="Arial" w:eastAsia="Arial" w:hAnsi="Arial"/>
                <w:sz w:val="24"/>
                <w:szCs w:val="24"/>
              </w:rPr>
              <w:t xml:space="preserve">предв. факт</w:t>
            </w:r>
          </w:p>
        </w:tc>
      </w:tr>
      <w:tr>
        <w:tc>
          <w:tcPr>
            <w:tcW w:type="dxa" w:w="6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7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135469,9</w:t>
            </w:r>
          </w:p>
        </w:tc>
        <w:tc>
          <w:tcPr>
            <w:tcW w:type="dxa" w:w="1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144705,8</w:t>
            </w:r>
          </w:p>
        </w:tc>
      </w:tr>
      <w:tr>
        <w:tc>
          <w:tcPr>
            <w:tcW w:type="dxa" w:w="6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7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6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w:t>
            </w:r>
          </w:p>
        </w:tc>
        <w:tc>
          <w:tcPr>
            <w:tcW w:type="dxa" w:w="17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государственного бюджета за 2017 год составил 3,2 % к ВВП. Его покрытие осуществлялось преимущественно за счет внешних источников.</w:t>
      </w:r>
    </w:p>
    <w:p>
      <w:pPr>
        <w:spacing w:after="120"/>
        <w:jc w:val="both"/>
      </w:pPr>
      <w:r>
        <w:rPr>
          <w:rFonts w:ascii="Arial" w:cs="Arial" w:eastAsia="Arial" w:hAnsi="Arial"/>
          <w:sz w:val="24"/>
          <w:szCs w:val="24"/>
        </w:rPr>
        <w:t xml:space="preserve">Размер государственного долга составил 311 846,1 млн сомов (4 530,1 млн долл. США) и уровень к ВВП – 59,9 %. Структура государственного долга не претерпела сильных изменений: более 90 % составляет внешний долг. Уровень государственного внешнего долга к ВВП в 2017 году составил 53,9 %.</w:t>
      </w:r>
    </w:p>
    <w:p>
      <w:pPr>
        <w:spacing w:after="120"/>
        <w:jc w:val="both"/>
      </w:pPr>
      <w:r>
        <w:rPr>
          <w:rFonts w:ascii="Arial" w:cs="Arial" w:eastAsia="Arial" w:hAnsi="Arial"/>
          <w:sz w:val="24"/>
          <w:szCs w:val="24"/>
        </w:rPr>
        <w:t xml:space="preserve">На фоне сложившихся макроэкономических показателей социальные показатели в Кыргызской Республике сложились следующим образом: среднемесячная номинальная заработная плата одного работника в 2017 году (c учетом малых предприятий) составила 15 670,0 сомов и по сравнению с 2016 годом увеличилась на 5,5 %, а ее реальный размер, исчисленный с учетом индекса потребительских цен, возрос на 2,2 %, что в 3,2 раза покрывает величину прожиточного минимума. Среднегодовая величина прожиточного минимума в 2017 году составила 4 900,8 сома и по сравнению с 2016 годом увеличилась на 2,2 %.</w:t>
      </w:r>
    </w:p>
    <w:p>
      <w:pPr>
        <w:spacing w:after="120"/>
        <w:jc w:val="both"/>
      </w:pPr>
      <w:r>
        <w:rPr>
          <w:rFonts w:ascii="Arial" w:cs="Arial" w:eastAsia="Arial" w:hAnsi="Arial"/>
          <w:sz w:val="24"/>
          <w:szCs w:val="24"/>
        </w:rPr>
        <w:t xml:space="preserve">Средний размер пенсии на 1 января 2018 года составил 5 412,0 сомов и увеличился по сравнению с 2017 годом на 6,6 %. В целях поддержки жизненного уровня пенсионеров произведено повышение пенсии с 1 октября 2017 года (постановления Правительства Кыргызской Республики от 18 августа 2017 года № 491 и № 492).</w:t>
      </w:r>
    </w:p>
    <w:p>
      <w:pPr>
        <w:spacing w:after="120"/>
        <w:jc w:val="both"/>
      </w:pPr>
      <w:r>
        <w:rPr>
          <w:rFonts w:ascii="Arial" w:cs="Arial" w:eastAsia="Arial" w:hAnsi="Arial"/>
          <w:sz w:val="24"/>
          <w:szCs w:val="24"/>
        </w:rPr>
        <w:t xml:space="preserve">Проводилась определенная работа в рамках функционирования в ЕАЭС: с 12 августа 2017 года на территории республики вступили в силу 18 технических регламентов ТС/ЕАЭС и, по состоянию на начало 2018 года, действует 36 технических регламентов ТС/ЕАЭС; утвержден План мероприятий по применению технических регламентов Таможенного союза в Кыргызской Республике (постановление Правительства Кыргызской Республики от 29 марта 2017 года № 184); 34 аккредитованных лаборатории Кыргызской Республики и 14 органов по сертификации внесены в Единый реестр ЕАЭС, которые выдают документы, и они равно признаются на территории всего Союза; 28 кыргызских предприятий включены в Реестр предприятий, которые могут осуществлять поставки на территорию государств-членов ЕАЭС (Россия и Казахстан); с 10 января 2017 года вступило в силу Соглашение с Казахстаном по вопросу применения унифицированного тарифа при перевозке грузов железнодорожным транспортом через территорию Республики Казахстан в/из Кыргызской Республики, который в разы дешевле национального транзитного тарифа; с 1 января 2017 года расширен перечень кыргызских товаров, разрешенных к транзиту по территории Казахстана для поставок в Россию, на 86 дополнительных товарных групп; началась работа по формированию Единой промышленной политики.</w:t>
      </w:r>
    </w:p>
    <w:p>
      <w:pPr>
        <w:spacing w:after="120"/>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принимаемых совместных действий Правительства и Национального банка достигнута положительная динамика экономического роста в 2017 году, выполнены запланированные социальные обязательства в полном объеме.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Тенденции развития мировой экономики и государств-членов ЕАЭС. Динамика основных мировых товарных рынков (золото, нефть)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Мировая экономика.</w:t>
      </w:r>
      <w:r>
        <w:rPr>
          <w:rFonts w:ascii="Arial" w:cs="Arial" w:eastAsia="Arial" w:hAnsi="Arial"/>
          <w:sz w:val="24"/>
          <w:szCs w:val="24"/>
        </w:rPr>
        <w:t xml:space="preserve"> По прогнозам международных институтов, после гораздо более успешного, чем ожидалось, 2017 года, темпы роста мировой экономики в 2018 году продолжат набирать обороты несмотря на возможное падение котировок на фондовых рынках и торговую напряженность между США и Китаем.</w:t>
      </w:r>
    </w:p>
    <w:p>
      <w:pPr>
        <w:spacing w:after="120"/>
        <w:jc w:val="both"/>
      </w:pPr>
      <w:r>
        <w:rPr>
          <w:rFonts w:ascii="Arial" w:cs="Arial" w:eastAsia="Arial" w:hAnsi="Arial"/>
          <w:sz w:val="24"/>
          <w:szCs w:val="24"/>
        </w:rPr>
        <w:t xml:space="preserve">Мировой ВВП в 2018 году увеличится на 3,9 %</w:t>
      </w:r>
      <w:r>
        <w:rPr>
          <w:rFonts w:ascii="Arial" w:cs="Arial" w:eastAsia="Arial" w:hAnsi="Arial"/>
          <w:sz w:val="24"/>
          <w:szCs w:val="24"/>
        </w:rPr>
        <w:t xml:space="preserve">[7]</w:t>
      </w:r>
      <w:r>
        <w:rPr>
          <w:rFonts w:ascii="Arial" w:cs="Arial" w:eastAsia="Arial" w:hAnsi="Arial"/>
          <w:sz w:val="24"/>
          <w:szCs w:val="24"/>
        </w:rPr>
        <w:t xml:space="preserve">, что будет самым быстрым ростом с 2011 года. Основным толчком к ускорению роста мирового ВВП будут положительные ожидания на рынке, а также хорошие финансовые условия и налогово-бюджетное стимулирование в США.</w:t>
      </w:r>
    </w:p>
    <w:p>
      <w:pPr>
        <w:spacing w:after="120"/>
        <w:jc w:val="both"/>
      </w:pPr>
      <w:r>
        <w:rPr>
          <w:rFonts w:ascii="Arial" w:cs="Arial" w:eastAsia="Arial" w:hAnsi="Arial"/>
          <w:sz w:val="24"/>
          <w:szCs w:val="24"/>
        </w:rPr>
        <w:t xml:space="preserve">На рост мирового ВВП будут оказывать влияние восстановление инвестиций, подъем промышленности и торговли, а также стабилизация цен на сырье, благоприятно сказывающиеся на положении развивающихся стран – экспортеров сырьевых товаров.</w:t>
      </w:r>
    </w:p>
    <w:p>
      <w:pPr>
        <w:spacing w:after="120"/>
        <w:jc w:val="both"/>
      </w:pPr>
      <w:r>
        <w:rPr>
          <w:rFonts w:ascii="Arial" w:cs="Arial" w:eastAsia="Arial" w:hAnsi="Arial"/>
          <w:sz w:val="24"/>
          <w:szCs w:val="24"/>
        </w:rPr>
        <w:t xml:space="preserve">Однако в среднесрочной перспективе присутствует риск возможного некоторого замедления мирового экономического роста, что связано с возможным нарастанием структурных ограничений, обусловленных неблагоприятной демографической ситуацией (старением населения, увеличением доли населения выше трудоспособного возраста), замедлением китайской экономики под влиянием избыточной долговой нагрузки и перенакоплением капитала в инфраструктурном секторе, а также из-за нарастания напряженности вокруг экономик Китая и США (торговая война). Риск геополитической напряженности будет иметь место в течение всего прогнозируемого периода и его усиление в среднесрочном периоде может привести к замедлению экономического роста в основных крупных экономиках и привести к ухудшению экономической ситуации в мире.</w:t>
      </w:r>
    </w:p>
    <w:p>
      <w:pPr>
        <w:spacing w:after="120"/>
        <w:jc w:val="both"/>
      </w:pPr>
      <w:r>
        <w:rPr>
          <w:rFonts w:ascii="Arial" w:cs="Arial" w:eastAsia="Arial" w:hAnsi="Arial"/>
          <w:sz w:val="24"/>
          <w:szCs w:val="24"/>
        </w:rPr>
        <w:t xml:space="preserve">По оценкам МВФ, рост мирового ВВП на 2018 и 2019 годы составит 3,9 %; еврозоны – пересмотрен в сторону увеличения: на 2018 год на 0,2 процентных пункта – до 2,4 %, на 2019 год остался на том же уровне – 2,0 %. По данным Всемирного банка, рост мирового ВВП оставлен на уровне январского прогноза и в 2018 году прирост составит 3,1 %, на 2019 год – 3,0 %; еврозоны на 2018 год – 2,1 %, 2019 год – 1,7 %.</w:t>
      </w:r>
    </w:p>
    <w:p>
      <w:pPr>
        <w:spacing w:after="120"/>
        <w:jc w:val="both"/>
      </w:pPr>
      <w:r>
        <w:rPr>
          <w:rFonts w:ascii="Arial" w:cs="Arial" w:eastAsia="Arial" w:hAnsi="Arial"/>
          <w:sz w:val="24"/>
          <w:szCs w:val="24"/>
        </w:rPr>
        <w:t xml:space="preserve">Еврозона. В еврозоне рост экономики останется сильным, как в различных секторах экономики, так и в отдельных странах. Потребительский спрос, как ожидается, останется основным двигателем экономического подъема в еврозоне в среднесрочной перспективе, при том, что экспорт также продолжит поддерживать рост ВВП. Меры денежно-кредитной политики Европейского центрального банка, которые способствовали процессу сокращения доли заемных средств, будут продолжать поддерживать внутренний спрос.</w:t>
      </w:r>
    </w:p>
    <w:p>
      <w:pPr>
        <w:spacing w:after="120"/>
        <w:jc w:val="both"/>
      </w:pPr>
      <w:r>
        <w:rPr>
          <w:rFonts w:ascii="Arial" w:cs="Arial" w:eastAsia="Arial" w:hAnsi="Arial"/>
          <w:sz w:val="24"/>
          <w:szCs w:val="24"/>
        </w:rPr>
        <w:t xml:space="preserve">Основные риски для перспектив экономического роста в еврозоне оцениваются как сбалансированные. Преобладающий сильный циклический импульс может привести к некоторому замедлению роста в ближайшем будущем. Еще один риск, который может повлечь снижение экономического роста, связан с глобальными факторами, включая события на валютных рынках. Кроме того, повышение процентных ставок в ряде стран может негативно повлиять на финансовые рынки, ухудшить кредитные условия и оказать негативное влияние на экономический рост еврозоны. Пошлины США на импорт ряда металлов и ответные меры стран-партнеров могут негативно повлиять на мировую торговлю. Сохраняются риски, связанные с политической неопределенностью (напряженность на Ближнем Востоке, выход Великобритании из ЕС и др.).</w:t>
      </w:r>
    </w:p>
    <w:p>
      <w:pPr>
        <w:spacing w:after="120"/>
        <w:jc w:val="both"/>
      </w:pPr>
      <w:r>
        <w:rPr>
          <w:rFonts w:ascii="Arial" w:cs="Arial" w:eastAsia="Arial" w:hAnsi="Arial"/>
          <w:sz w:val="24"/>
          <w:szCs w:val="24"/>
        </w:rPr>
        <w:t xml:space="preserve">Китай. Согласно прогнозам МВФ, в 2018 году в Китае, несмотря на значительный рост в 2017 году, ожидается некоторое замедление роста экономики до уровня 6,6 % с последующим снижением в 2019 году до 6,4 %. По данным Всемирного банка, также ожидается замедление экономики Китая до 6,5 % в 2018 году и до 6,3 % – в 2019 году</w:t>
      </w:r>
      <w:r>
        <w:rPr>
          <w:rFonts w:ascii="Arial" w:cs="Arial" w:eastAsia="Arial" w:hAnsi="Arial"/>
          <w:sz w:val="24"/>
          <w:szCs w:val="24"/>
        </w:rPr>
        <w:t xml:space="preserve">[8]</w:t>
      </w:r>
      <w:r>
        <w:rPr>
          <w:rFonts w:ascii="Arial" w:cs="Arial" w:eastAsia="Arial" w:hAnsi="Arial"/>
          <w:sz w:val="24"/>
          <w:szCs w:val="24"/>
        </w:rPr>
        <w:t xml:space="preserve">. Макроэкономическая политика будет поддерживать внутренние драйверы роста, несмотря на слабый внешний спрос, низкий уровень частных инвестиций, а также наличие избыточных мощностей в некоторых отраслях.</w:t>
      </w:r>
    </w:p>
    <w:p>
      <w:pPr>
        <w:spacing w:after="120"/>
        <w:jc w:val="both"/>
      </w:pPr>
      <w:r>
        <w:rPr>
          <w:rFonts w:ascii="Arial" w:cs="Arial" w:eastAsia="Arial" w:hAnsi="Arial"/>
          <w:sz w:val="24"/>
          <w:szCs w:val="24"/>
        </w:rPr>
        <w:t xml:space="preserve">Основные риски для перспектив связаны с уязвимостью финансового сектора, возможностью усиления протекционистской политики в странах с развитой экономикой и ростом геополитической напряженности. Долгосрочные фундаментальные факторы потенциального роста указывают на дальнейшее замедление роста Китая в течение следующего десятилетия, поскольку старение населения, как ожидается, снизит предложение рабочей силы.</w:t>
      </w:r>
    </w:p>
    <w:p>
      <w:pPr>
        <w:spacing w:after="120"/>
        <w:jc w:val="both"/>
      </w:pPr>
      <w:r>
        <w:rPr>
          <w:rFonts w:ascii="Arial" w:cs="Arial" w:eastAsia="Arial" w:hAnsi="Arial"/>
          <w:sz w:val="24"/>
          <w:szCs w:val="24"/>
        </w:rPr>
        <w:t xml:space="preserve">США. Экономика продолжит демонстрировать устойчивые темпы роста. Более активный рост ВВП дает определенный хороший задел на 2018 год. Проводимая налоговая реформа в США будет стимулировать инвестиции в американскую экономику. «Дешевые деньги», накопленные в финансовой системе, повышение прибыли из-за нового налогового законодательства и постепенное увеличение ставок будут способствовать экономическому росту. Однако протекционистская политика со стороны США может привести к выходу из НАФТА, что неблагоприятно скажется на всех участниках этого соглашения и может отразиться негативно на экономическом росте. В 2018 году ожидается рост ВВП на уровне 102,9 %, в 2019 году – на уровне 102,7 %9.</w:t>
      </w:r>
    </w:p>
    <w:p>
      <w:pPr>
        <w:spacing w:after="120"/>
        <w:jc w:val="both"/>
      </w:pPr>
      <w:r>
        <w:rPr>
          <w:rFonts w:ascii="Arial" w:cs="Arial" w:eastAsia="Arial" w:hAnsi="Arial"/>
          <w:sz w:val="24"/>
          <w:szCs w:val="24"/>
        </w:rPr>
        <w:t xml:space="preserve">Государства–члены ЕАЭС прошли фазу восстановления экономической активности. Ожидается, что ее положительная динамика сохранится в среднесрочном периоде. Рост уровня экономической активности будет набирать обороты.</w:t>
      </w:r>
    </w:p>
    <w:p>
      <w:pPr>
        <w:spacing w:after="120"/>
        <w:jc w:val="both"/>
      </w:pPr>
      <w:r>
        <w:rPr>
          <w:rFonts w:ascii="Arial" w:cs="Arial" w:eastAsia="Arial" w:hAnsi="Arial"/>
          <w:sz w:val="24"/>
          <w:szCs w:val="24"/>
        </w:rPr>
        <w:t xml:space="preserve">По оценке международных институтов, экономический рост в государствах-членах ЕАЭС тоже пересмотрен (пересмотрен в апреле 2018 года): в сторону увеличения в Республике Беларусь в 2018 году на 2,1 процентного пункта (с 0,7 до 2,8 %), в 2019 году – на 1,6 процентного пункта (с 0,9 до 2,5 %); Республике Казахстан в 2018 году – на 0,4 процентного пункта (с 2,8 до 3,2 %), в 2019 году прогноз остался на прежнем уровне и составил 2,8 %; в Республике Армения в 2018 году улучшен на 0,5 процентного пункта (с 2,9 до 3,4 %), в 2019 году – на 0,5 процентного пункта (с 3,0 до 3,5 %). При этом в Российской Федерации прогноз пересмотрен в сторону снижения на 2018 год до диапазона в 1,6-2,1 %, в 2019 году – до 1,5 %.</w:t>
      </w:r>
    </w:p>
    <w:p>
      <w:pPr>
        <w:spacing w:after="120"/>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Сравнительная таблица оценки институтами экономического роста мировой экономики и отдельных стран на 2018-2021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7"/>
        <w:gridCol w:w="1316"/>
        <w:gridCol w:w="1438"/>
        <w:gridCol w:w="1281"/>
        <w:gridCol w:w="1101"/>
        <w:gridCol w:w="1197"/>
        <w:gridCol w:w="1074"/>
        <w:gridCol w:w="1014"/>
      </w:tblGrid>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Мир</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3"/>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Еврозона</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809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Китай</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США</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09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экономики Российской Федерации</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1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3"/>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национальной экономики Республики Казахстан</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3"/>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809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Российская Федерация. По оценке экспертов, в 2018 году в стране наступит период стабильности. Основным активным фактором будет служить увеличение внутреннего спроса, которое будет сопровождаться повышением уровня потребления и инвестирования. Прогнозируется продолжение восстановления производственной активности.</w:t>
      </w:r>
    </w:p>
    <w:p>
      <w:pPr>
        <w:spacing w:after="120"/>
        <w:jc w:val="both"/>
      </w:pPr>
      <w:r>
        <w:rPr>
          <w:rFonts w:ascii="Arial" w:cs="Arial" w:eastAsia="Arial" w:hAnsi="Arial"/>
          <w:sz w:val="24"/>
          <w:szCs w:val="24"/>
        </w:rPr>
        <w:t xml:space="preserve">Учитывая текущую динамику восстановительных процессов и рост уровня экономической активности, на 2018 год экономический рост в Российской Федерации был пересмотрен и ожидается в интервале 1,6-2,1 %, в 2019-2021 годах ожидается рост на 2,2-3,5 %</w:t>
      </w:r>
      <w:r>
        <w:rPr>
          <w:rFonts w:ascii="Arial" w:cs="Arial" w:eastAsia="Arial" w:hAnsi="Arial"/>
          <w:sz w:val="24"/>
          <w:szCs w:val="24"/>
        </w:rPr>
        <w:t xml:space="preserve">[9]</w:t>
      </w:r>
      <w:r>
        <w:rPr>
          <w:rFonts w:ascii="Arial" w:cs="Arial" w:eastAsia="Arial" w:hAnsi="Arial"/>
          <w:sz w:val="24"/>
          <w:szCs w:val="24"/>
        </w:rPr>
        <w:t xml:space="preserve">. Инфляция при условии отсутствия негативных погодных шоков будет находиться ниже отметки 4 %; федеральный бюджет закончит с профицитом около 1,0 % ВВП (профицит будет впервые с 2011 года).</w:t>
      </w:r>
    </w:p>
    <w:p>
      <w:pPr>
        <w:spacing w:after="120"/>
        <w:jc w:val="both"/>
      </w:pPr>
      <w:r>
        <w:rPr>
          <w:rFonts w:ascii="Arial" w:cs="Arial" w:eastAsia="Arial" w:hAnsi="Arial"/>
          <w:sz w:val="24"/>
          <w:szCs w:val="24"/>
        </w:rPr>
        <w:t xml:space="preserve">Основным двигателем роста станут инвестиции при медленном восстановлении потребления: факторами поддержки как инвестиций, так и потребления будет снижение ключевой ставки Центрального банка России и ускорение роста кредитования. Ключевыми рисками могут стать отток капитала, связанный с новыми внешними ограничениями или возобновлением волатильности в ценах на нефть, замедление промышленного производства, а также усиление санкций, что может привести к ослаблению национальной валюты.</w:t>
      </w:r>
    </w:p>
    <w:p>
      <w:pPr>
        <w:spacing w:after="120"/>
        <w:jc w:val="both"/>
      </w:pPr>
      <w:r>
        <w:rPr>
          <w:rFonts w:ascii="Arial" w:cs="Arial" w:eastAsia="Arial" w:hAnsi="Arial"/>
          <w:sz w:val="24"/>
          <w:szCs w:val="24"/>
        </w:rPr>
        <w:t xml:space="preserve">Республика Казахстан. По оценке экспертов, экономика Казахстана будет характеризоваться устойчивым ростом, чему будут способствовать позитивные внешние условия торговли, обусловленные положительной динамикой спроса как в странах-основных торговых партнерах Казахстана, так и в мировой экономике в целом. Экономической стабильности будет способствовать также эффективная бюджетная политика, поддержание устойчивости госфинансов и развитие ГЧП.</w:t>
      </w:r>
    </w:p>
    <w:p>
      <w:pPr>
        <w:spacing w:after="120"/>
        <w:jc w:val="both"/>
      </w:pPr>
      <w:r>
        <w:rPr>
          <w:rFonts w:ascii="Arial" w:cs="Arial" w:eastAsia="Arial" w:hAnsi="Arial"/>
          <w:sz w:val="24"/>
          <w:szCs w:val="24"/>
        </w:rPr>
        <w:t xml:space="preserve">Экономический рост в Республике Казахстан в 2018 году ожидается на уровне 3,8 % (на 2018 год прогноз увеличен на 0,7 процентного пункта), на 2019-2021 годы – в среднем на уровне 4,1 %</w:t>
      </w:r>
      <w:r>
        <w:rPr>
          <w:rFonts w:ascii="Arial" w:cs="Arial" w:eastAsia="Arial" w:hAnsi="Arial"/>
          <w:sz w:val="24"/>
          <w:szCs w:val="24"/>
        </w:rPr>
        <w:t xml:space="preserve">[10]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Однако присутствует ряд рисков, влияние которых может негативно сказаться на макроэкономическом развитии страны. В числе внешних рисков – существенное снижение цен на энергоресурсы на мировых рынках и волатильность цен на нефть, а также резкое и более существенное ужесточение политики Федеральной резервной системы США. К внутренним рискам относятся: вероятность повторного возникновения шоков предложения на отдельных рынках товаров и услуг, в частности продовольствия и ГСМ; возможное ухудшение ожиданий населения и бизнеса относительно дальнейшей динамики инфляции и обменного курса тенге, реализация которых может привести к резкому росту инфляции и ее выходу за пределы целевого коридора. Реакцией на ухудшение внешних и внутренних условий может стать замедление темпов роста экономики.</w:t>
      </w:r>
    </w:p>
    <w:p>
      <w:pPr>
        <w:spacing w:after="120"/>
        <w:jc w:val="both"/>
      </w:pPr>
      <w:r>
        <w:rPr>
          <w:rFonts w:ascii="Arial" w:cs="Arial" w:eastAsia="Arial" w:hAnsi="Arial"/>
          <w:sz w:val="24"/>
          <w:szCs w:val="24"/>
        </w:rPr>
        <w:t xml:space="preserve">Мировой рынок нефти. Фундаментальную основу повышения/снижения цен на нефть будут предопределять сохранение высокого спроса на «черное золото» и пересмотр действия соглашения ОПЕК+, ограничивающего добычу нефти (на заседании стран ОПЕК+ 22 июня 2018 года принято решение об увеличении добычи нефти на 400-600 тыс. баррелей, которое начнется с июля 2018 года), а также объемы добычи североамериканских сланцевых компаний.</w:t>
      </w:r>
    </w:p>
    <w:p>
      <w:pPr>
        <w:spacing w:after="120"/>
        <w:jc w:val="both"/>
      </w:pPr>
      <w:r>
        <w:rPr>
          <w:rFonts w:ascii="Arial" w:cs="Arial" w:eastAsia="Arial" w:hAnsi="Arial"/>
          <w:sz w:val="24"/>
          <w:szCs w:val="24"/>
        </w:rPr>
        <w:t xml:space="preserve">Однако присутствует риск, связанный с геополитическими событиями вокруг основных производителей нефти (Ближний Восток и Северная Америка), по причине восстановления санкций против Ирана.</w:t>
      </w:r>
    </w:p>
    <w:p>
      <w:pPr>
        <w:spacing w:after="120"/>
        <w:jc w:val="both"/>
      </w:pPr>
      <w:r>
        <w:rPr>
          <w:rFonts w:ascii="Arial" w:cs="Arial" w:eastAsia="Arial" w:hAnsi="Arial"/>
          <w:sz w:val="24"/>
          <w:szCs w:val="24"/>
        </w:rPr>
        <w:t xml:space="preserve">В таких условиях в среднесрочном периоде ожидается, что цены на нефть стабилизируются в коридоре от 55 до 73 долл. США за баррель. Однако в случае превышения спроса над предложением и наоборот, вероятен выход из этого коридора. На фоне таких предпосылок многими экспертами и международными организациями также сохраняется позитивный прогноз. К примеру:</w:t>
      </w:r>
    </w:p>
    <w:p>
      <w:pPr>
        <w:spacing w:after="120"/>
        <w:jc w:val="both"/>
      </w:pPr>
      <w:r>
        <w:rPr>
          <w:rFonts w:ascii="Arial" w:cs="Arial" w:eastAsia="Arial" w:hAnsi="Arial"/>
          <w:sz w:val="24"/>
          <w:szCs w:val="24"/>
        </w:rPr>
        <w:t xml:space="preserve">согласно прогнозам Всемирного банка, глобальные цены на нефть в 2018 году составят в среднем 70,0 долл. США за баррель, повысившись в 2019 году – до 69,0 долл. США за баррель;</w:t>
      </w:r>
    </w:p>
    <w:p>
      <w:pPr>
        <w:spacing w:after="120"/>
        <w:jc w:val="both"/>
      </w:pPr>
      <w:r>
        <w:rPr>
          <w:rFonts w:ascii="Arial" w:cs="Arial" w:eastAsia="Arial" w:hAnsi="Arial"/>
          <w:sz w:val="24"/>
          <w:szCs w:val="24"/>
        </w:rPr>
        <w:t xml:space="preserve">Международный валютный фонд (МВФ) повысил прогноз мировых цен на нефть на 2018 год на 2,4 доллара до 62,3 долл. США за баррель и в 2019 году – 58,2 долл. США за баррель;</w:t>
      </w:r>
    </w:p>
    <w:p>
      <w:pPr>
        <w:spacing w:after="120"/>
        <w:jc w:val="both"/>
      </w:pPr>
      <w:r>
        <w:rPr>
          <w:rFonts w:ascii="Arial" w:cs="Arial" w:eastAsia="Arial" w:hAnsi="Arial"/>
          <w:sz w:val="24"/>
          <w:szCs w:val="24"/>
        </w:rPr>
        <w:t xml:space="preserve">Российская академии наук ожидает, что в 2018 году средняя стоимость составит 60 долл. США за баррель, в 2019 году – 62,0 долл. США за баррель, в 2020 году – 67,0 долл. США за баррель. Подорожанию нефти будут способствовать действие сделки </w:t>
      </w:r>
      <w:r>
        <w:rPr>
          <w:rFonts w:ascii="Arial" w:cs="Arial" w:eastAsia="Arial" w:hAnsi="Arial"/>
          <w:sz w:val="24"/>
          <w:szCs w:val="24"/>
        </w:rPr>
        <w:t xml:space="preserve">ОПЕК+</w:t>
      </w:r>
      <w:r>
        <w:rPr>
          <w:rFonts w:ascii="Arial" w:cs="Arial" w:eastAsia="Arial" w:hAnsi="Arial"/>
          <w:sz w:val="24"/>
          <w:szCs w:val="24"/>
        </w:rPr>
        <w:t xml:space="preserve"> и постепенный рост спроса (на 1% в год);</w:t>
      </w:r>
    </w:p>
    <w:p>
      <w:pPr>
        <w:spacing w:after="120"/>
        <w:jc w:val="both"/>
      </w:pPr>
      <w:r>
        <w:rPr>
          <w:rFonts w:ascii="Arial" w:cs="Arial" w:eastAsia="Arial" w:hAnsi="Arial"/>
          <w:sz w:val="24"/>
          <w:szCs w:val="24"/>
        </w:rPr>
        <w:t xml:space="preserve">Международное рейтинговое агентство Standard &amp; Poor's </w:t>
      </w:r>
      <w:r>
        <w:rPr>
          <w:rFonts w:ascii="Arial" w:cs="Arial" w:eastAsia="Arial" w:hAnsi="Arial"/>
          <w:sz w:val="24"/>
          <w:szCs w:val="24"/>
        </w:rPr>
        <w:t xml:space="preserve">повысило прогноз цен на нефть</w:t>
      </w:r>
      <w:r>
        <w:rPr>
          <w:rFonts w:ascii="Arial" w:cs="Arial" w:eastAsia="Arial" w:hAnsi="Arial"/>
          <w:sz w:val="24"/>
          <w:szCs w:val="24"/>
        </w:rPr>
        <w:t xml:space="preserve"> в 2018 году и ожидает, что марка Brent в среднем будет стоить 60,0 долл. США за баррель против ранее предполагавшихся 55,0 долл. США за баррель. Прогноз на 2019-2020 годы оставлен без изменения – 55,0 долл. США за баррель;</w:t>
      </w:r>
    </w:p>
    <w:p>
      <w:pPr>
        <w:spacing w:after="120"/>
        <w:jc w:val="both"/>
      </w:pPr>
      <w:r>
        <w:rPr>
          <w:rFonts w:ascii="Arial" w:cs="Arial" w:eastAsia="Arial" w:hAnsi="Arial"/>
          <w:sz w:val="24"/>
          <w:szCs w:val="24"/>
        </w:rPr>
        <w:t xml:space="preserve">Международное рейтинговое агентство Moody's Investors Service прогнозирует, что цены на нефть в 2018-2019 годах будут на уровне 45-65 долл. США за баррель;</w:t>
      </w:r>
    </w:p>
    <w:p>
      <w:pPr>
        <w:spacing w:after="120"/>
        <w:jc w:val="both"/>
      </w:pPr>
      <w:r>
        <w:rPr>
          <w:rFonts w:ascii="Arial" w:cs="Arial" w:eastAsia="Arial" w:hAnsi="Arial"/>
          <w:sz w:val="24"/>
          <w:szCs w:val="24"/>
        </w:rPr>
        <w:t xml:space="preserve">эксперты Citigroup прогнозируют в конце 2018 года цены на нефть марки Brent на уровне 54-55 долл. США за баррель за счет достижения баланса между спросом и предложением на рынке нефти;</w:t>
      </w:r>
    </w:p>
    <w:p>
      <w:pPr>
        <w:spacing w:after="120"/>
        <w:jc w:val="both"/>
      </w:pPr>
      <w:r>
        <w:rPr>
          <w:rFonts w:ascii="Arial" w:cs="Arial" w:eastAsia="Arial" w:hAnsi="Arial"/>
          <w:sz w:val="24"/>
          <w:szCs w:val="24"/>
        </w:rPr>
        <w:t xml:space="preserve">аналитики компании «Barclays plc» повысили прогноз цен на нефть в 2018 году до 70 долл. США за баррель с 60 долл. США за баррель, в 2019 году – 65 долл. США за баррель, что обусловлено уверенным ростом спроса на сырье и пересмотром ожиданий в отношении Венесуэлы;</w:t>
      </w:r>
    </w:p>
    <w:p>
      <w:pPr>
        <w:spacing w:after="120"/>
        <w:jc w:val="both"/>
      </w:pPr>
      <w:r>
        <w:rPr>
          <w:rFonts w:ascii="Arial" w:cs="Arial" w:eastAsia="Arial" w:hAnsi="Arial"/>
          <w:sz w:val="24"/>
          <w:szCs w:val="24"/>
        </w:rPr>
        <w:t xml:space="preserve">аналитики банка «BNP Paribas» повысили прогноз средней цены марки Brent в 2018 году до 69 долл. США за баррель с 65 долл. США за баррель, в 2019 году – до 66 долл. США за баррель;</w:t>
      </w:r>
    </w:p>
    <w:p>
      <w:pPr>
        <w:spacing w:after="120"/>
        <w:jc w:val="both"/>
      </w:pPr>
      <w:r>
        <w:rPr>
          <w:rFonts w:ascii="Arial" w:cs="Arial" w:eastAsia="Arial" w:hAnsi="Arial"/>
          <w:sz w:val="24"/>
          <w:szCs w:val="24"/>
        </w:rPr>
        <w:t xml:space="preserve">управление по энергетической информации Министерства энергетики США (EIA) повысило прогноз в 2018 году по среднегодовой цене на Brent до 62,39 долл. США за баррель, а в 2019 году прогнозирует среднюю цену нефти Brent на уровне 61,51 долл. США за баррель;</w:t>
      </w:r>
    </w:p>
    <w:p>
      <w:pPr>
        <w:spacing w:after="120"/>
        <w:jc w:val="both"/>
      </w:pPr>
      <w:r>
        <w:rPr>
          <w:rFonts w:ascii="Arial" w:cs="Arial" w:eastAsia="Arial" w:hAnsi="Arial"/>
          <w:sz w:val="24"/>
          <w:szCs w:val="24"/>
        </w:rPr>
        <w:t xml:space="preserve">по прогнозу Goldman Sachs, нефть марки Brent будет стоить в среднем 75,0 долл. США за баррель в 2018 году и 59,5 долл. США за баррель в 2019 году против ожидавшихся ранее 58 долл. США за баррель в оба года;</w:t>
      </w:r>
    </w:p>
    <w:p>
      <w:pPr>
        <w:spacing w:after="120"/>
        <w:jc w:val="both"/>
      </w:pPr>
      <w:r>
        <w:rPr>
          <w:rFonts w:ascii="Arial" w:cs="Arial" w:eastAsia="Arial" w:hAnsi="Arial"/>
          <w:sz w:val="24"/>
          <w:szCs w:val="24"/>
        </w:rPr>
        <w:t xml:space="preserve">аналитики UBS повысили прогноз цен на нефть на 2018-2019 годы. По их оценке, в 2018 году марка Brent будет стоить в среднем 60,0 долл. США за баррель против ранее ожидавшихся 55,0 долл. США за баррель, в 2019 году – 70,0 долл. США за баррель;</w:t>
      </w:r>
    </w:p>
    <w:p>
      <w:pPr>
        <w:spacing w:after="120"/>
        <w:jc w:val="both"/>
      </w:pPr>
      <w:r>
        <w:rPr>
          <w:rFonts w:ascii="Arial" w:cs="Arial" w:eastAsia="Arial" w:hAnsi="Arial"/>
          <w:sz w:val="24"/>
          <w:szCs w:val="24"/>
        </w:rPr>
        <w:t xml:space="preserve">в JP Morgan придерживаются также позитивных прогнозов по ценам на нефть в 2018-2019 годах: в 2018 году – 69,5 долл. США за баррель, а в 2019 году – 64,0 долл. США за баррель.</w:t>
      </w:r>
    </w:p>
    <w:p>
      <w:pPr>
        <w:spacing w:after="120"/>
        <w:jc w:val="both"/>
      </w:pPr>
      <w:r>
        <w:rPr>
          <w:rFonts w:ascii="Arial" w:cs="Arial" w:eastAsia="Arial" w:hAnsi="Arial"/>
          <w:sz w:val="24"/>
          <w:szCs w:val="24"/>
        </w:rPr>
        <w:t xml:space="preserve">При этом повышательные риски для рынка будут преобладать из-за вероятности перебоев с поставками и вероятности того, что спрос будет расти сильнее прогнозов. Кроме того, присутствует риск ускорения добычи сланцевой нефти в США, сильного увеличения экспорта углеводородов из США, что неминуемо приведет к увеличению предложения на рынке и снижению цен на нефть марки Brent.</w:t>
      </w:r>
    </w:p>
    <w:p>
      <w:pPr>
        <w:spacing w:after="120"/>
        <w:jc w:val="both"/>
      </w:pPr>
      <w:r>
        <w:rPr>
          <w:rFonts w:ascii="Arial" w:cs="Arial" w:eastAsia="Arial" w:hAnsi="Arial"/>
          <w:sz w:val="24"/>
          <w:szCs w:val="24"/>
        </w:rPr>
        <w:t xml:space="preserve">Кроме того, ужесточение денежно-кредитной политики Федеральной резервной системы и Народного банка Китая может оказать влияние на стоимость доллара и отразиться на обменном курсе основных стратегических партнеров, и будет являться еще одним негативным фактором, который внесет вклад в цены на нефть.</w:t>
      </w:r>
    </w:p>
    <w:p>
      <w:pPr>
        <w:spacing w:after="120"/>
        <w:jc w:val="both"/>
      </w:pPr>
      <w:r>
        <w:rPr>
          <w:rFonts w:ascii="Arial" w:cs="Arial" w:eastAsia="Arial" w:hAnsi="Arial"/>
          <w:sz w:val="24"/>
          <w:szCs w:val="24"/>
        </w:rPr>
        <w:t xml:space="preserve">Мировой рынок золота. Для рынка драгоценных металлов, в том числе золота, характерно влияние экономических рисков, геополитической обстановки, колебания на валютном рынке и т.д.</w:t>
      </w:r>
    </w:p>
    <w:p>
      <w:pPr>
        <w:spacing w:after="120"/>
        <w:jc w:val="both"/>
      </w:pPr>
      <w:r>
        <w:rPr>
          <w:rFonts w:ascii="Arial" w:cs="Arial" w:eastAsia="Arial" w:hAnsi="Arial"/>
          <w:sz w:val="24"/>
          <w:szCs w:val="24"/>
        </w:rPr>
        <w:t xml:space="preserve">2017 год был ознаменован рядом событий, которые долго ожидались рынком золота и происходили на фоне стремительного роста цены на драгоценный металл, однако барьер в 1300 долл. США за тройскую унцию не удалось удержать.</w:t>
      </w:r>
    </w:p>
    <w:p>
      <w:pPr>
        <w:spacing w:after="120"/>
        <w:jc w:val="both"/>
      </w:pPr>
      <w:r>
        <w:rPr>
          <w:rFonts w:ascii="Arial" w:cs="Arial" w:eastAsia="Arial" w:hAnsi="Arial"/>
          <w:sz w:val="24"/>
          <w:szCs w:val="24"/>
        </w:rPr>
        <w:t xml:space="preserve">Самое значимое событие 2017 года – был прерван шестилетний нисходящий тренд формирования цены на золото, который начал формироваться еще в 2012 году. В течение 5 лет на рынке драгоценных металлов наблюдалась стагнация, и до сих пор цены так и не достигли уровня 2012 года (1 669,4 долл. США за 1 тройскую унцию).</w:t>
      </w:r>
    </w:p>
    <w:p>
      <w:pPr>
        <w:spacing w:after="120"/>
        <w:jc w:val="both"/>
      </w:pPr>
      <w:r>
        <w:rPr>
          <w:rFonts w:ascii="Arial" w:cs="Arial" w:eastAsia="Arial" w:hAnsi="Arial"/>
          <w:sz w:val="24"/>
          <w:szCs w:val="24"/>
        </w:rPr>
        <w:t xml:space="preserve">В течение 2017 года спрос на желтый металл то увеличивался на фоне серьезных потрясений, то снижался. Основное влияние на мировой рынок золота оказали такие факторы, как резкое снижение спроса на физический металл, особенно в монетах, продолжающийся прессинг розничного спроса в Индии из-за ужесточения борьбы с теневыми доходами; повышение ставок ФРС; рост фондового рынка США и рынка криптовалют.</w:t>
      </w:r>
    </w:p>
    <w:p>
      <w:pPr>
        <w:spacing w:after="120"/>
        <w:jc w:val="both"/>
      </w:pPr>
      <w:r>
        <w:rPr>
          <w:rFonts w:ascii="Arial" w:cs="Arial" w:eastAsia="Arial" w:hAnsi="Arial"/>
          <w:sz w:val="24"/>
          <w:szCs w:val="24"/>
        </w:rPr>
        <w:t xml:space="preserve">Ценовая конъюнктура рынка драгоценных металлов в среднесрочной перспективе будет предопределяться набором следующих факторов:</w:t>
      </w:r>
    </w:p>
    <w:p>
      <w:pPr>
        <w:spacing w:after="120"/>
        <w:jc w:val="both"/>
      </w:pPr>
      <w:r>
        <w:rPr>
          <w:rFonts w:ascii="Arial" w:cs="Arial" w:eastAsia="Arial" w:hAnsi="Arial"/>
          <w:sz w:val="24"/>
          <w:szCs w:val="24"/>
        </w:rPr>
        <w:t xml:space="preserve">изменения политики ФРС, которые будут оказывать влияние на стоимость доллара США (ФРС продолжит повышать ставки в 2018 году (ожидается еще 2 повышения), что является определенным сигналом на рынке драгоценных металлов. Курс доллара, в случае поднятия ставки ФРС, укрепит позиции американской валюты и может повлечь за собой снижение спроса на золото и повышение уровня ликвидности активов);</w:t>
      </w:r>
    </w:p>
    <w:p>
      <w:pPr>
        <w:spacing w:after="120"/>
        <w:jc w:val="both"/>
      </w:pPr>
      <w:r>
        <w:rPr>
          <w:rFonts w:ascii="Arial" w:cs="Arial" w:eastAsia="Arial" w:hAnsi="Arial"/>
          <w:sz w:val="24"/>
          <w:szCs w:val="24"/>
        </w:rPr>
        <w:t xml:space="preserve">геополитические риски (нестабильность на Ближнем Востоке, «торговые войны», новые санкции в отношении Ирана и т.д. В случае продолжения разрастания геополитической напряженности колебания цены на нефть могут привести к тому, что у ряда инвесторов появится желание минимизировать риски, в результате чего спрос на защитные инвестиции в золото, возрастет и приведет к росту цены);</w:t>
      </w:r>
    </w:p>
    <w:p>
      <w:pPr>
        <w:spacing w:after="120"/>
        <w:jc w:val="both"/>
      </w:pPr>
      <w:r>
        <w:rPr>
          <w:rFonts w:ascii="Arial" w:cs="Arial" w:eastAsia="Arial" w:hAnsi="Arial"/>
          <w:sz w:val="24"/>
          <w:szCs w:val="24"/>
        </w:rPr>
        <w:t xml:space="preserve">волатильность цены на нефть;</w:t>
      </w:r>
    </w:p>
    <w:p>
      <w:pPr>
        <w:spacing w:after="120"/>
        <w:jc w:val="both"/>
      </w:pPr>
      <w:r>
        <w:rPr>
          <w:rFonts w:ascii="Arial" w:cs="Arial" w:eastAsia="Arial" w:hAnsi="Arial"/>
          <w:sz w:val="24"/>
          <w:szCs w:val="24"/>
        </w:rPr>
        <w:t xml:space="preserve">неопределенность ситуации на фондовых рынках (бурный рост фондового рынка привел к тому, что золото не растет в цене – на протяжении 2017 года наблюдается повышенная волатильность в узком диапазоне).</w:t>
      </w:r>
    </w:p>
    <w:p>
      <w:pPr>
        <w:spacing w:after="120"/>
        <w:jc w:val="both"/>
      </w:pPr>
      <w:r>
        <w:rPr>
          <w:rFonts w:ascii="Arial" w:cs="Arial" w:eastAsia="Arial" w:hAnsi="Arial"/>
          <w:sz w:val="24"/>
          <w:szCs w:val="24"/>
        </w:rPr>
        <w:t xml:space="preserve">Ожидается, что в 2018 году цены на золото будут складываться в коридоре 1300-1350 долл. США за 1 тройскую унцию, в 2019-2021 годах – в коридоре – 1300-1400 долл. США за 1 тройскую унцию. При этом присутствует риск того, что прогноз золота может превысить показатели, заложенные в коридоре, реагируя на различные глобальные риски и шоки, происходящие в мировой экономике (например, геополитические риски, предсказать которые достаточно сложно).</w:t>
      </w:r>
    </w:p>
    <w:p>
      <w:pPr>
        <w:spacing w:after="120"/>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2018-2021 годы. На рассматриваемые периоды перспективы развития мировой экономики варьируются в интервале 2,9 % – 3,8 %, а изменение цен на нефть варьируются в интервале от 55,0 до 73,0 долл. США за баррель. На 2018-2021 годы цены на золото прогнозируются в диапазоне 1300-1400 долл. США за тройскую унцию.</w:t>
      </w:r>
    </w:p>
    <w:p>
      <w:pPr>
        <w:spacing w:after="120"/>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2019 – 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2420"/>
        <w:gridCol w:w="1699"/>
        <w:gridCol w:w="1390"/>
        <w:gridCol w:w="1390"/>
        <w:gridCol w:w="1390"/>
        <w:gridCol w:w="1390"/>
      </w:tblGrid>
      <w:tr>
        <w:tc>
          <w:tcPr>
            <w:tcW w:type="dxa" w:w="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 темпов развития мировой экономики</w:t>
            </w:r>
          </w:p>
        </w:tc>
        <w:tc>
          <w:tcPr>
            <w:tcW w:type="dxa" w:w="16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 пред. году</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3,1-3,7</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3,0-3,8</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2,9-3,3</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3,0-3,5</w:t>
            </w:r>
          </w:p>
        </w:tc>
      </w:tr>
      <w:tr>
        <w:tc>
          <w:tcPr>
            <w:tcW w:type="dxa" w:w="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4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 цен на нефть марки Brent</w:t>
            </w:r>
          </w:p>
        </w:tc>
        <w:tc>
          <w:tcPr>
            <w:tcW w:type="dxa" w:w="16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 за баррель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60,0-70,0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55,0-70,0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60,0-73,0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55,0-65,0</w:t>
            </w:r>
          </w:p>
        </w:tc>
      </w:tr>
      <w:tr>
        <w:tc>
          <w:tcPr>
            <w:tcW w:type="dxa" w:w="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4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 цен на золото</w:t>
            </w:r>
          </w:p>
        </w:tc>
        <w:tc>
          <w:tcPr>
            <w:tcW w:type="dxa" w:w="16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 за тройскую унцию</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1300-1350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1330-1380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1350-1400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1300-1350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Взаимное влияние экономик – важный фактор, который будет оказывать как положительное, так и негативное воздействие на макроэкономические показатели Кыргызской Республики в 2018 году и среднесрочный период. Участие в интеграционном объединении усиливает не только положительные взаимные эффекты на траектории роста, но и отрицательные – на траектории спада. Это в свою очередь дает инструменты координации, которые позволяют сглаживать негативное влияние.</w:t>
      </w:r>
    </w:p>
    <w:p>
      <w:pPr>
        <w:spacing w:after="120"/>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Факторы/риски и условия социально-экономического развития Кыргызской Республики на 2019-2021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Экономическое развитие в прогнозируемом горизонте (2019-2021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120"/>
        <w:jc w:val="both"/>
      </w:pPr>
      <w:r>
        <w:rPr>
          <w:rFonts w:ascii="Arial" w:cs="Arial" w:eastAsia="Arial" w:hAnsi="Arial"/>
          <w:sz w:val="24"/>
          <w:szCs w:val="24"/>
        </w:rPr>
        <w:t xml:space="preserve">Ускорение экономического роста в странах – основных торговых партнерах будет оказывать положительное влияние на экономику страны. Факторами ускорения роста ВВП в среднесрочном горизонте являются планируемое начало добычи золота на новом месторождении Джеруй (2-е место по запасу золота после Кумтора), наращивание объема производства основного металла на месторождении Талды-Булак Левобережный, доведение до полной загрузки производственных мощностей нефтеперерабатывающих предприятий в городах Токмок и Кара-Балта, реализация крупных инвестиционных проектов, заложенных в Программе развития Кыргызской Республики на период 2018-2022 годов «Единство. Доверие. Созидание» (постановление Жогорку Кенеша Кыргызской Республики от 20 апреля 2018 года № 2377-IV).</w:t>
      </w:r>
    </w:p>
    <w:p>
      <w:pPr>
        <w:spacing w:after="120"/>
        <w:jc w:val="both"/>
      </w:pPr>
      <w:r>
        <w:rPr>
          <w:rFonts w:ascii="Arial" w:cs="Arial" w:eastAsia="Arial" w:hAnsi="Arial"/>
          <w:sz w:val="24"/>
          <w:szCs w:val="24"/>
        </w:rPr>
        <w:t xml:space="preserve">В среднесрочной перспективе продолжат оказывать влияние следующие факторы:</w:t>
      </w:r>
    </w:p>
    <w:p>
      <w:pPr>
        <w:spacing w:after="120"/>
        <w:jc w:val="both"/>
      </w:pPr>
      <w:r>
        <w:rPr>
          <w:rFonts w:ascii="Arial" w:cs="Arial" w:eastAsia="Arial" w:hAnsi="Arial"/>
          <w:sz w:val="24"/>
          <w:szCs w:val="24"/>
        </w:rPr>
        <w:t xml:space="preserve">внешние условия:</w:t>
      </w:r>
    </w:p>
    <w:p>
      <w:pPr>
        <w:spacing w:after="120"/>
        <w:jc w:val="both"/>
      </w:pPr>
      <w:r>
        <w:rPr>
          <w:rFonts w:ascii="Arial" w:cs="Arial" w:eastAsia="Arial" w:hAnsi="Arial"/>
          <w:sz w:val="24"/>
          <w:szCs w:val="24"/>
        </w:rPr>
        <w:t xml:space="preserve">поступательное развитие мировой экономики;</w:t>
      </w:r>
    </w:p>
    <w:p>
      <w:pPr>
        <w:spacing w:after="120"/>
        <w:jc w:val="both"/>
      </w:pPr>
      <w:r>
        <w:rPr>
          <w:rFonts w:ascii="Arial" w:cs="Arial" w:eastAsia="Arial" w:hAnsi="Arial"/>
          <w:sz w:val="24"/>
          <w:szCs w:val="24"/>
        </w:rPr>
        <w:t xml:space="preserve">закрепление траектории экономического роста в странах – основных торговых партнерах и государствах-членах ЕАЭС;</w:t>
      </w:r>
    </w:p>
    <w:p>
      <w:pPr>
        <w:spacing w:after="120"/>
        <w:jc w:val="both"/>
      </w:pPr>
      <w:r>
        <w:rPr>
          <w:rFonts w:ascii="Arial" w:cs="Arial" w:eastAsia="Arial" w:hAnsi="Arial"/>
          <w:sz w:val="24"/>
          <w:szCs w:val="24"/>
        </w:rPr>
        <w:t xml:space="preserve">ужесточение денежно-кредитной политики ФРС – возможное двукратное повышение ставки ФРС (на первом заседание ставка ФРС осталась неизменной, 21 марта 2018 года ставка повышена на 0,25 % до 1,5-1,75 %, 2 мая 2018 года ставка осталась неизменной, 1 июня 2018 года ставка повышена на 0,25 % до 1,75-2 %) и Китая (китайский регулятор повысил ставку семидневного обратного РЕПО до 2,22 %), что может оказать влияние на стоимость доллара и отразиться на обменном курсе основных стратегических партнеров;</w:t>
      </w:r>
    </w:p>
    <w:p>
      <w:pPr>
        <w:spacing w:after="120"/>
        <w:jc w:val="both"/>
      </w:pPr>
      <w:r>
        <w:rPr>
          <w:rFonts w:ascii="Arial" w:cs="Arial" w:eastAsia="Arial" w:hAnsi="Arial"/>
          <w:sz w:val="24"/>
          <w:szCs w:val="24"/>
        </w:rPr>
        <w:t xml:space="preserve">сохранение геополитических рисков, соответственно замедление экономической активности в отдельных странах – основных торговых партнерах (продолжение расширения санкций против Ирана, связанных с нарушением законодательства США о запрете изготовления и использования оружия массового поражения; возможное усиление антироссийских санкций; «торговые войны» (США с 1 июня ввели пошлины на сталь и алюминий из Евросоюза, Мексики и Канады и др.);</w:t>
      </w:r>
    </w:p>
    <w:p>
      <w:pPr>
        <w:spacing w:after="120"/>
        <w:jc w:val="both"/>
      </w:pPr>
      <w:r>
        <w:rPr>
          <w:rFonts w:ascii="Arial" w:cs="Arial" w:eastAsia="Arial" w:hAnsi="Arial"/>
          <w:sz w:val="24"/>
          <w:szCs w:val="24"/>
        </w:rPr>
        <w:t xml:space="preserve">усиление санкций в отношении основного стратегического партнера – Российской Федерации и возможная волатильность на российском рынке могут серьезно повлиять на российскую экономику и соответственно лагом отразиться на экономике Кыргызской Республики;</w:t>
      </w:r>
    </w:p>
    <w:p>
      <w:pPr>
        <w:spacing w:after="120"/>
        <w:jc w:val="both"/>
      </w:pPr>
      <w:r>
        <w:rPr>
          <w:rFonts w:ascii="Arial" w:cs="Arial" w:eastAsia="Arial" w:hAnsi="Arial"/>
          <w:sz w:val="24"/>
          <w:szCs w:val="24"/>
        </w:rPr>
        <w:t xml:space="preserve">обострение ситуации вокруг Сирии, что грозит резким увеличением геополитических рисков;</w:t>
      </w:r>
    </w:p>
    <w:p>
      <w:pPr>
        <w:spacing w:after="120"/>
        <w:jc w:val="both"/>
      </w:pPr>
      <w:r>
        <w:rPr>
          <w:rFonts w:ascii="Arial" w:cs="Arial" w:eastAsia="Arial" w:hAnsi="Arial"/>
          <w:sz w:val="24"/>
          <w:szCs w:val="24"/>
        </w:rPr>
        <w:t xml:space="preserve">пересмотр действия соглашения ОПЕК+, ограничивающего добычу нефти (на заседании стран ОПЕК+ 22 июня 2018 года принято решение об увеличении добычи нефти на 400-600 тыс. баррелей, которое начнется с июля 2018 года),</w:t>
      </w:r>
    </w:p>
    <w:p>
      <w:pPr>
        <w:spacing w:after="120"/>
        <w:jc w:val="both"/>
      </w:pPr>
      <w:r>
        <w:rPr>
          <w:rFonts w:ascii="Arial" w:cs="Arial" w:eastAsia="Arial" w:hAnsi="Arial"/>
          <w:sz w:val="24"/>
          <w:szCs w:val="24"/>
        </w:rPr>
        <w:t xml:space="preserve">усиление оттока капитала из России в 2018-2019 годах, связанного с противостоянием России и западного мира, увеличением объемов покупки иностранных облигаций в резервы страны и т.д.;</w:t>
      </w:r>
    </w:p>
    <w:p>
      <w:pPr>
        <w:spacing w:after="120"/>
        <w:jc w:val="both"/>
      </w:pPr>
      <w:r>
        <w:rPr>
          <w:rFonts w:ascii="Arial" w:cs="Arial" w:eastAsia="Arial" w:hAnsi="Arial"/>
          <w:sz w:val="24"/>
          <w:szCs w:val="24"/>
        </w:rPr>
        <w:t xml:space="preserve">нестабильность на фондовом рынке, что может отразиться на ситуации на сырьевых рынках, в том числе на «черном золоте»;</w:t>
      </w:r>
    </w:p>
    <w:p>
      <w:pPr>
        <w:spacing w:after="120"/>
        <w:jc w:val="both"/>
      </w:pPr>
      <w:r>
        <w:rPr>
          <w:rFonts w:ascii="Arial" w:cs="Arial" w:eastAsia="Arial" w:hAnsi="Arial"/>
          <w:sz w:val="24"/>
          <w:szCs w:val="24"/>
        </w:rPr>
        <w:t xml:space="preserve">прогнозируемый умеренный рост инфляции в странах – основных торговых партнерах Кыргызской Республики;</w:t>
      </w:r>
    </w:p>
    <w:p>
      <w:pPr>
        <w:spacing w:after="120"/>
        <w:jc w:val="both"/>
      </w:pPr>
      <w:r>
        <w:rPr>
          <w:rFonts w:ascii="Arial" w:cs="Arial" w:eastAsia="Arial" w:hAnsi="Arial"/>
          <w:sz w:val="24"/>
          <w:szCs w:val="24"/>
        </w:rPr>
        <w:t xml:space="preserve">внутренние условия:</w:t>
      </w:r>
    </w:p>
    <w:p>
      <w:pPr>
        <w:spacing w:after="120"/>
        <w:jc w:val="both"/>
      </w:pPr>
      <w:r>
        <w:rPr>
          <w:rFonts w:ascii="Arial" w:cs="Arial" w:eastAsia="Arial" w:hAnsi="Arial"/>
          <w:sz w:val="24"/>
          <w:szCs w:val="24"/>
        </w:rPr>
        <w:t xml:space="preserve">социально-политическая стабильность в стране и странах – основных торговых партнерах;</w:t>
      </w:r>
    </w:p>
    <w:p>
      <w:pPr>
        <w:spacing w:after="120"/>
        <w:jc w:val="both"/>
      </w:pPr>
      <w:r>
        <w:rPr>
          <w:rFonts w:ascii="Arial" w:cs="Arial" w:eastAsia="Arial" w:hAnsi="Arial"/>
          <w:sz w:val="24"/>
          <w:szCs w:val="24"/>
        </w:rPr>
        <w:t xml:space="preserve">зависимость внутреннего рынка от импорта продовольственной группы товаров (мука, растительное масло, сахар, крупы и т.д.), ГСМ;</w:t>
      </w:r>
    </w:p>
    <w:p>
      <w:pPr>
        <w:spacing w:after="120"/>
        <w:jc w:val="both"/>
      </w:pPr>
      <w:r>
        <w:rPr>
          <w:rFonts w:ascii="Arial" w:cs="Arial" w:eastAsia="Arial" w:hAnsi="Arial"/>
          <w:sz w:val="24"/>
          <w:szCs w:val="24"/>
        </w:rPr>
        <w:t xml:space="preserve">инфляционные ожидания населения (возможное увеличение тарифов на природный газ, планируемое ежегодное изменение цен на электрическую и тепловую энергию в рамках разрабатываемой тарифной политики на среднесрочный период);</w:t>
      </w:r>
    </w:p>
    <w:p>
      <w:pPr>
        <w:spacing w:after="120"/>
        <w:jc w:val="both"/>
      </w:pPr>
      <w:r>
        <w:rPr>
          <w:rFonts w:ascii="Arial" w:cs="Arial" w:eastAsia="Arial" w:hAnsi="Arial"/>
          <w:sz w:val="24"/>
          <w:szCs w:val="24"/>
        </w:rPr>
        <w:t xml:space="preserve">природно-климатический фактор, который может оказать негативное воздействие на развитие агропромышленного комплекса и энергетики;</w:t>
      </w:r>
    </w:p>
    <w:p>
      <w:pPr>
        <w:spacing w:after="120"/>
        <w:jc w:val="both"/>
      </w:pPr>
      <w:r>
        <w:rPr>
          <w:rFonts w:ascii="Arial" w:cs="Arial" w:eastAsia="Arial" w:hAnsi="Arial"/>
          <w:sz w:val="24"/>
          <w:szCs w:val="24"/>
        </w:rPr>
        <w:t xml:space="preserve">продолжение восстановления потребительского спроса;</w:t>
      </w:r>
    </w:p>
    <w:p>
      <w:pPr>
        <w:spacing w:after="120"/>
        <w:jc w:val="both"/>
      </w:pPr>
      <w:r>
        <w:rPr>
          <w:rFonts w:ascii="Arial" w:cs="Arial" w:eastAsia="Arial" w:hAnsi="Arial"/>
          <w:sz w:val="24"/>
          <w:szCs w:val="24"/>
        </w:rPr>
        <w:t xml:space="preserve">умеренный рост денежных переводов в среднесрочной перспективе;</w:t>
      </w:r>
    </w:p>
    <w:p>
      <w:pPr>
        <w:spacing w:after="120"/>
        <w:jc w:val="both"/>
      </w:pPr>
      <w:r>
        <w:rPr>
          <w:rFonts w:ascii="Arial" w:cs="Arial" w:eastAsia="Arial" w:hAnsi="Arial"/>
          <w:sz w:val="24"/>
          <w:szCs w:val="24"/>
        </w:rPr>
        <w:t xml:space="preserve">рост деловой активности хозяйствующих субъектов и повышение привлекательности бизнес-среды на фоне восстановления экономического роста в странах – основных торговых партнерах;</w:t>
      </w:r>
    </w:p>
    <w:p>
      <w:pPr>
        <w:spacing w:after="120"/>
        <w:jc w:val="both"/>
      </w:pPr>
      <w:r>
        <w:rPr>
          <w:rFonts w:ascii="Arial" w:cs="Arial" w:eastAsia="Arial" w:hAnsi="Arial"/>
          <w:sz w:val="24"/>
          <w:szCs w:val="24"/>
        </w:rPr>
        <w:t xml:space="preserve">усиление работы по импортозамещению, развитие экспортных операций и приоритетных секторов экономики с высоким экспортным потенциалом;</w:t>
      </w:r>
    </w:p>
    <w:p>
      <w:pPr>
        <w:spacing w:after="120"/>
        <w:jc w:val="both"/>
      </w:pPr>
      <w:r>
        <w:rPr>
          <w:rFonts w:ascii="Arial" w:cs="Arial" w:eastAsia="Arial" w:hAnsi="Arial"/>
          <w:sz w:val="24"/>
          <w:szCs w:val="24"/>
        </w:rPr>
        <w:t xml:space="preserve">реализация государственной политики социально-экономического развития регионов Кыргызской Республики, формирование базисной конструкции для подготовки детализированных программ развития конкретных населенных пунктов, которые будут служить точками развития регионов в рамках Концепции региональной политики Кыргызской Республики на период 2018-2022 годов (</w:t>
      </w:r>
      <w:hyperlink w:history="1" r:id="rIdfgjkbnmrgatbligfegy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марта 2017 года № 194);</w:t>
      </w:r>
    </w:p>
    <w:p>
      <w:pPr>
        <w:spacing w:after="120"/>
        <w:jc w:val="both"/>
      </w:pPr>
      <w:r>
        <w:rPr>
          <w:rFonts w:ascii="Arial" w:cs="Arial" w:eastAsia="Arial" w:hAnsi="Arial"/>
          <w:sz w:val="24"/>
          <w:szCs w:val="24"/>
        </w:rPr>
        <w:t xml:space="preserve">продолжение развития отечественной туристической индустрии в целях улучшения имиджа страны на международной арене и вклада туризма в экономику через увеличение его доли в ВВП на основе реализации Плана мероприятий по реализации Программы Правительства Кыргызской Республики по развитию сферы туризма до 2020 года (</w:t>
      </w:r>
      <w:hyperlink w:history="1" r:id="rIdeyntr0jnkczklqrpsfr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2016 года № 192); улучшение инвестиционного климата страны через реализацию Программы развития государственно-частного партнерства в Кыргызской Республике на 2016-2021 годы (</w:t>
      </w:r>
      <w:hyperlink w:history="1" r:id="rIdsq3cpoyibxjpenw4d3n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июня 2016 года № 327).</w:t>
      </w:r>
    </w:p>
    <w:p>
      <w:pPr>
        <w:spacing w:after="120"/>
        <w:jc w:val="both"/>
      </w:pPr>
      <w:r>
        <w:rPr>
          <w:rFonts w:ascii="Arial" w:cs="Arial" w:eastAsia="Arial" w:hAnsi="Arial"/>
          <w:sz w:val="24"/>
          <w:szCs w:val="24"/>
        </w:rPr>
        <w:t xml:space="preserve">Возможные риски:</w:t>
      </w:r>
    </w:p>
    <w:p>
      <w:pPr>
        <w:spacing w:after="120"/>
        <w:jc w:val="both"/>
      </w:pPr>
      <w:r>
        <w:rPr>
          <w:rFonts w:ascii="Arial" w:cs="Arial" w:eastAsia="Arial" w:hAnsi="Arial"/>
          <w:sz w:val="24"/>
          <w:szCs w:val="24"/>
        </w:rPr>
        <w:t xml:space="preserve">резкое усиление рисков во всех областях – от окружающей среды до экономики, геополитики, общественной жизни и технологий, что негативно отразится и предопределит развитие мировой экономики и может отразиться лагом на развитии стран – основных торговых партнеров Кыргызской Республики через каналы торговли, денежных переводов;</w:t>
      </w:r>
    </w:p>
    <w:p>
      <w:pPr>
        <w:spacing w:after="120"/>
        <w:jc w:val="both"/>
      </w:pPr>
      <w:r>
        <w:rPr>
          <w:rFonts w:ascii="Arial" w:cs="Arial" w:eastAsia="Arial" w:hAnsi="Arial"/>
          <w:sz w:val="24"/>
          <w:szCs w:val="24"/>
        </w:rPr>
        <w:t xml:space="preserve"> на фоне усиления и умножения внешних конфликтов – вероятность их воздействия на развитие экономик стран возрастает (возможные препятствия для переговоров о пересмотре НАФТА, ядерные амбиции Корейской Народно-Демократической Республики и т.д.);</w:t>
      </w:r>
    </w:p>
    <w:p>
      <w:pPr>
        <w:spacing w:after="120"/>
        <w:jc w:val="both"/>
      </w:pPr>
      <w:r>
        <w:rPr>
          <w:rFonts w:ascii="Arial" w:cs="Arial" w:eastAsia="Arial" w:hAnsi="Arial"/>
          <w:sz w:val="24"/>
          <w:szCs w:val="24"/>
        </w:rPr>
        <w:t xml:space="preserve">возможное возобновление резких скачков в ценах на нефть, что скажется на обменном курсе доллара США;</w:t>
      </w:r>
    </w:p>
    <w:p>
      <w:pPr>
        <w:spacing w:after="120"/>
        <w:jc w:val="both"/>
      </w:pPr>
      <w:r>
        <w:rPr>
          <w:rFonts w:ascii="Arial" w:cs="Arial" w:eastAsia="Arial" w:hAnsi="Arial"/>
          <w:sz w:val="24"/>
          <w:szCs w:val="24"/>
        </w:rPr>
        <w:t xml:space="preserve">чистый отток прямых иностранных инвестиций (в 2017 году зафиксирован чистый отток прямых иностранных инвестиций из страны (ПИИ) в размере 78,1 млн долл. США, в то время как в предыдущие годы наблюдался чистый приток капитала по ПИИ. В I квартале 2018 года сумма чистого оттока ПИИ составила 130,3 млн долл. США);</w:t>
      </w:r>
    </w:p>
    <w:p>
      <w:pPr>
        <w:spacing w:after="120"/>
        <w:jc w:val="both"/>
      </w:pPr>
      <w:r>
        <w:rPr>
          <w:rFonts w:ascii="Arial" w:cs="Arial" w:eastAsia="Arial" w:hAnsi="Arial"/>
          <w:sz w:val="24"/>
          <w:szCs w:val="24"/>
        </w:rPr>
        <w:t xml:space="preserve">высокий уровень теневой экономики в стране (по итогам 2016 года составил 24,5 %);</w:t>
      </w:r>
    </w:p>
    <w:p>
      <w:pPr>
        <w:spacing w:after="120"/>
        <w:jc w:val="both"/>
      </w:pPr>
      <w:r>
        <w:rPr>
          <w:rFonts w:ascii="Arial" w:cs="Arial" w:eastAsia="Arial" w:hAnsi="Arial"/>
          <w:sz w:val="24"/>
          <w:szCs w:val="24"/>
        </w:rPr>
        <w:t xml:space="preserve">неблагоприятный природно-климатический фактор, который может оказать негативное воздействие на развитие агропромышленного комплекса и энергетики (в отдельных сельскохозяйственных зонах из-за малоснежной зимы, затяжного процесса наступления весны, а также выпадения осадков (снег, град) в весенние месяцы (апрель-май) в отдельных областях/районах республики);</w:t>
      </w:r>
    </w:p>
    <w:p>
      <w:pPr>
        <w:spacing w:after="120"/>
        <w:jc w:val="both"/>
      </w:pPr>
      <w:r>
        <w:rPr>
          <w:rFonts w:ascii="Arial" w:cs="Arial" w:eastAsia="Arial" w:hAnsi="Arial"/>
          <w:sz w:val="24"/>
          <w:szCs w:val="24"/>
        </w:rPr>
        <w:t xml:space="preserve"> снижение внутреннего спроса из-за замедления экономической активности в отдельных странах – основных торговых партнерах Кыргызской Республики;</w:t>
      </w:r>
    </w:p>
    <w:p>
      <w:pPr>
        <w:spacing w:after="120"/>
        <w:jc w:val="both"/>
      </w:pPr>
      <w:r>
        <w:rPr>
          <w:rFonts w:ascii="Arial" w:cs="Arial" w:eastAsia="Arial" w:hAnsi="Arial"/>
          <w:sz w:val="24"/>
          <w:szCs w:val="24"/>
        </w:rPr>
        <w:t xml:space="preserve">сохранение высокого уровня государственного долга (по итогам 2017 года соотношение государственного долга к ВВП составило 59,9 %),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120"/>
        <w:jc w:val="both"/>
      </w:pPr>
      <w:r>
        <w:rPr>
          <w:rFonts w:ascii="Arial" w:cs="Arial" w:eastAsia="Arial" w:hAnsi="Arial"/>
          <w:sz w:val="24"/>
          <w:szCs w:val="24"/>
        </w:rPr>
        <w:t xml:space="preserve">увеличение дефицита государственного бюджета вследствие возможного сокращения потенциальных кредитных и грантовых поступлений при сохранении прежнего уровня социальных расходов;</w:t>
      </w:r>
    </w:p>
    <w:p>
      <w:pPr>
        <w:spacing w:after="120"/>
        <w:jc w:val="both"/>
      </w:pPr>
      <w:r>
        <w:rPr>
          <w:rFonts w:ascii="Arial" w:cs="Arial" w:eastAsia="Arial" w:hAnsi="Arial"/>
          <w:sz w:val="24"/>
          <w:szCs w:val="24"/>
        </w:rPr>
        <w:t xml:space="preserve">сохранение отдельных таможенных барьеров, задержка открытия ветеринарных постов, неполный учет движения товаров в связи с открытием границ и т.д.;</w:t>
      </w:r>
    </w:p>
    <w:p>
      <w:pPr>
        <w:spacing w:after="120"/>
        <w:jc w:val="both"/>
      </w:pPr>
      <w:r>
        <w:rPr>
          <w:rFonts w:ascii="Arial" w:cs="Arial" w:eastAsia="Arial" w:hAnsi="Arial"/>
          <w:sz w:val="24"/>
          <w:szCs w:val="24"/>
        </w:rPr>
        <w:t xml:space="preserve">отток с отечественного рынка труда квалифицированной рабочей силы;</w:t>
      </w:r>
    </w:p>
    <w:p>
      <w:pPr>
        <w:spacing w:after="120"/>
        <w:jc w:val="both"/>
      </w:pPr>
      <w:r>
        <w:rPr>
          <w:rFonts w:ascii="Arial" w:cs="Arial" w:eastAsia="Arial" w:hAnsi="Arial"/>
          <w:sz w:val="24"/>
          <w:szCs w:val="24"/>
        </w:rPr>
        <w:t xml:space="preserve">возможное применение защитных мер внутренних рынков со стороны стран – основных торговых партнеров, что может повлечь за собой снижение конкурентоспособности отечественных товаров и экспорта товаров;</w:t>
      </w:r>
    </w:p>
    <w:p>
      <w:pPr>
        <w:spacing w:after="120"/>
        <w:jc w:val="both"/>
      </w:pPr>
      <w:r>
        <w:rPr>
          <w:rFonts w:ascii="Arial" w:cs="Arial" w:eastAsia="Arial" w:hAnsi="Arial"/>
          <w:sz w:val="24"/>
          <w:szCs w:val="24"/>
        </w:rPr>
        <w:t xml:space="preserve">возможное сокращение денежных переводов, что в свою очередь приведет к снижению объемов валовой продукции строительства, услуг;</w:t>
      </w:r>
    </w:p>
    <w:p>
      <w:pPr>
        <w:spacing w:after="120"/>
        <w:jc w:val="both"/>
      </w:pPr>
      <w:r>
        <w:rPr>
          <w:rFonts w:ascii="Arial" w:cs="Arial" w:eastAsia="Arial" w:hAnsi="Arial"/>
          <w:sz w:val="24"/>
          <w:szCs w:val="24"/>
        </w:rPr>
        <w:t xml:space="preserve">возможное заполнение национальных рынков дешевыми товарами и вытеснение отечественных производителей;</w:t>
      </w:r>
    </w:p>
    <w:p>
      <w:pPr>
        <w:spacing w:after="120"/>
        <w:jc w:val="both"/>
      </w:pPr>
      <w:r>
        <w:rPr>
          <w:rFonts w:ascii="Arial" w:cs="Arial" w:eastAsia="Arial" w:hAnsi="Arial"/>
          <w:sz w:val="24"/>
          <w:szCs w:val="24"/>
        </w:rPr>
        <w:t xml:space="preserve">рост стоимости импорта на основные продовольственные товары и энергоресурсы на фоне волатильности на валютном рынке обусловит дополнительное инфляционное давление на экономику.</w:t>
      </w:r>
    </w:p>
    <w:p>
      <w:pPr>
        <w:spacing w:after="120"/>
        <w:jc w:val="both"/>
      </w:pPr>
      <w:r>
        <w:rPr>
          <w:rFonts w:ascii="Arial" w:cs="Arial" w:eastAsia="Arial" w:hAnsi="Arial"/>
          <w:sz w:val="24"/>
          <w:szCs w:val="24"/>
        </w:rPr>
        <w:t xml:space="preserve">Сохранение условий негативного влияния на экономики государств-членов ЕАЭС и основных торговых партнеров, и рисков распространения кризисных явлений может оказывать влияние на устойчивое экономическое развитие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Макроэкономические показатели, ожидаемые в 2018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Главными целями политики Правительства на 2018 год являются сохранение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120"/>
        <w:jc w:val="both"/>
      </w:pPr>
      <w:r>
        <w:rPr>
          <w:rFonts w:ascii="Arial" w:cs="Arial" w:eastAsia="Arial" w:hAnsi="Arial"/>
          <w:sz w:val="24"/>
          <w:szCs w:val="24"/>
        </w:rPr>
        <w:t xml:space="preserve">Экономическое развитие проходит в условиях сохранения и продолжения укрепления тенденций экономического роста стран – основных торговых партнеров Кыргызской Республики. Оценка динамики цен на мировых товарных рынках и перспективы экономического роста в странах – основных торговых партнерах продолжат формировать положительный фон для экономического развития Кыргызской Республики, что позволяет ожидать продолжения уверенного роста экономической активности и роста внешнего спроса на отечественную продукцию, а также притока денежных переводов.</w:t>
      </w:r>
    </w:p>
    <w:p>
      <w:pPr>
        <w:spacing w:after="120"/>
        <w:jc w:val="both"/>
      </w:pPr>
      <w:r>
        <w:rPr>
          <w:rFonts w:ascii="Arial" w:cs="Arial" w:eastAsia="Arial" w:hAnsi="Arial"/>
          <w:sz w:val="24"/>
          <w:szCs w:val="24"/>
        </w:rPr>
        <w:t xml:space="preserve">При этом учтены результаты 6 месяцев 2018 года, которые показали нисходящий тренд развития экономики, и внесены корректировки в показатели на 2018 год по:</w:t>
      </w:r>
    </w:p>
    <w:p>
      <w:pPr>
        <w:spacing w:after="120"/>
        <w:jc w:val="both"/>
      </w:pPr>
      <w:r>
        <w:rPr>
          <w:rFonts w:ascii="Arial" w:cs="Arial" w:eastAsia="Arial" w:hAnsi="Arial"/>
          <w:sz w:val="24"/>
          <w:szCs w:val="24"/>
        </w:rPr>
        <w:t xml:space="preserve">добыче золотых концентратов, которые ожидаются на уровне 2017 года (по итогам 6 месяцев 2018 года темп прироста снизился на 52,8 %);</w:t>
      </w:r>
    </w:p>
    <w:p>
      <w:pPr>
        <w:spacing w:after="120"/>
        <w:jc w:val="both"/>
      </w:pPr>
      <w:r>
        <w:rPr>
          <w:rFonts w:ascii="Arial" w:cs="Arial" w:eastAsia="Arial" w:hAnsi="Arial"/>
          <w:sz w:val="24"/>
          <w:szCs w:val="24"/>
        </w:rPr>
        <w:t xml:space="preserve">производству пищевых продуктов (по итогам 6 месяцев темп прироста составил 0,5 %, тогда как в соответствующем периоде 2017 года составлял 10,3 %);</w:t>
      </w:r>
    </w:p>
    <w:p>
      <w:pPr>
        <w:spacing w:after="120"/>
        <w:jc w:val="both"/>
      </w:pPr>
      <w:r>
        <w:rPr>
          <w:rFonts w:ascii="Arial" w:cs="Arial" w:eastAsia="Arial" w:hAnsi="Arial"/>
          <w:sz w:val="24"/>
          <w:szCs w:val="24"/>
        </w:rPr>
        <w:t xml:space="preserve">услугам связи (по итогам 6 месяцев 2018 года темп прироста снизился на 7,4 процентного пункта).</w:t>
      </w:r>
    </w:p>
    <w:p>
      <w:pPr>
        <w:spacing w:after="120"/>
        <w:jc w:val="both"/>
      </w:pPr>
      <w:r>
        <w:rPr>
          <w:rFonts w:ascii="Arial" w:cs="Arial" w:eastAsia="Arial" w:hAnsi="Arial"/>
          <w:sz w:val="24"/>
          <w:szCs w:val="24"/>
        </w:rPr>
        <w:t xml:space="preserve">Действия Правительства направлены на эффективную реализацию Программы развития Кыргызской Республики на период 2018-2022 годов «Единство. Доверие. Созидание» (постановление Жогорку Кенеша Кыргызской Республики от 20 апреля 2018 года № 2377-IV).</w:t>
      </w:r>
    </w:p>
    <w:p>
      <w:pPr>
        <w:spacing w:after="120"/>
        <w:jc w:val="both"/>
      </w:pPr>
      <w:r>
        <w:rPr>
          <w:rFonts w:ascii="Arial" w:cs="Arial" w:eastAsia="Arial" w:hAnsi="Arial"/>
          <w:sz w:val="24"/>
          <w:szCs w:val="24"/>
        </w:rPr>
        <w:t xml:space="preserve">Продолжается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 В целях поддержки развития предпринимательской деятельности будет разработана Программа развития и поддержки малого и среднего бизнеса на 2019-2023 годы, которая продолжит курс реформ по улучшению условий ведения предпринимательской деятельности.</w:t>
      </w:r>
    </w:p>
    <w:p>
      <w:pPr>
        <w:spacing w:after="120"/>
        <w:jc w:val="both"/>
      </w:pPr>
      <w:r>
        <w:rPr>
          <w:rFonts w:ascii="Arial" w:cs="Arial" w:eastAsia="Arial" w:hAnsi="Arial"/>
          <w:sz w:val="24"/>
          <w:szCs w:val="24"/>
        </w:rPr>
        <w:t xml:space="preserve">В части повышения инвестиционной привлекательности, улучшения делового климата и создания благоприятной деловой среды основное внимание уделено повышению инвестиционного потенциала и привлекательности регионов страны с учетом имеющихся преимуществ и особенностей каждой области; дальнейшему совершенствованию законодательства, регулирующего инвестиционную деятельность; совершенствованию процедур подготовки и реализации проектов государственно-частного партнерства (далее – ГЧП), активизации инвестиционного процесса через привлечение инвестиций для развития жилищно-коммунального и дорожного хозяйства на условиях ГЧП,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120"/>
        <w:jc w:val="both"/>
      </w:pPr>
      <w:r>
        <w:rPr>
          <w:rFonts w:ascii="Arial" w:cs="Arial" w:eastAsia="Arial" w:hAnsi="Arial"/>
          <w:sz w:val="24"/>
          <w:szCs w:val="24"/>
        </w:rPr>
        <w:t xml:space="preserve">Продолжается работа по интеграции в ЕАЭС. Основными направлениями деятельности являются дальнейшее наращивание экспорта в страны ЕАЭС, устранение технических и иных барьеров во взаимной торговле на евразийском пространстве, поэтапное движение к общему рынку электроэнергии, а также цифровое переформатирование экономики.</w:t>
      </w:r>
    </w:p>
    <w:p>
      <w:pPr>
        <w:spacing w:after="120"/>
        <w:jc w:val="both"/>
      </w:pPr>
      <w:r>
        <w:rPr>
          <w:rFonts w:ascii="Arial" w:cs="Arial" w:eastAsia="Arial" w:hAnsi="Arial"/>
          <w:sz w:val="24"/>
          <w:szCs w:val="24"/>
        </w:rPr>
        <w:t xml:space="preserve">Налоговая политика в 2018 году направлена на поддержание стабильного экономического роста, улучшение налогового администрирования, упрощение процедур, необходимых налоговым агентам для исполнения своих обязанностей, при сохранении принципов справедливого и прозрачного взимания обязательных платежей в бюджет по законным, точно установленным правилам, минимально обременяющим налогоплательщика.</w:t>
      </w:r>
    </w:p>
    <w:p>
      <w:pPr>
        <w:spacing w:after="120"/>
        <w:jc w:val="both"/>
      </w:pPr>
      <w:r>
        <w:rPr>
          <w:rFonts w:ascii="Arial" w:cs="Arial" w:eastAsia="Arial" w:hAnsi="Arial"/>
          <w:sz w:val="24"/>
          <w:szCs w:val="24"/>
        </w:rPr>
        <w:t xml:space="preserve">Начаты работы по внедрению новых подходов в информатизацию фискальных процессов, с использованием возможностей автоматизированных информационных систем.</w:t>
      </w:r>
    </w:p>
    <w:p>
      <w:pPr>
        <w:spacing w:after="120"/>
        <w:jc w:val="both"/>
      </w:pPr>
      <w:r>
        <w:rPr>
          <w:rFonts w:ascii="Arial" w:cs="Arial" w:eastAsia="Arial" w:hAnsi="Arial"/>
          <w:sz w:val="24"/>
          <w:szCs w:val="24"/>
        </w:rPr>
        <w:t xml:space="preserve">Для этого активно ведутся работы по созданию системы маркировки товаров, электронного патента и совершенствования администрирования онлайн контрольно-кассовых машин, а также по созданию условий для создания Национальной системы прослеживаемости иностранных товаров как на территории ЕАЭС, так и на территории Кыргызской Республики.</w:t>
      </w:r>
    </w:p>
    <w:p>
      <w:pPr>
        <w:spacing w:after="120"/>
        <w:jc w:val="both"/>
      </w:pPr>
      <w:r>
        <w:rPr>
          <w:rFonts w:ascii="Arial" w:cs="Arial" w:eastAsia="Arial" w:hAnsi="Arial"/>
          <w:sz w:val="24"/>
          <w:szCs w:val="24"/>
        </w:rPr>
        <w:t xml:space="preserve">Фискальная политика также направлена на поддержание целей страны на развитие регионов, в частности, будет утвержден список регионов, в которых отдельные виды деятельности будут иметь некоторые налоговые послабления и будут созданы условия для ускорения создания сельскохозяйственных кооперативов.</w:t>
      </w:r>
    </w:p>
    <w:p>
      <w:pPr>
        <w:spacing w:after="120"/>
        <w:jc w:val="both"/>
      </w:pPr>
      <w:r>
        <w:rPr>
          <w:rFonts w:ascii="Arial" w:cs="Arial" w:eastAsia="Arial" w:hAnsi="Arial"/>
          <w:sz w:val="24"/>
          <w:szCs w:val="24"/>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будет принята новая Среднесрочная тарифная политика Кыргызской Республики на электрическую и тепловую энергию на 2019-2023 годы, где определены пороги и сроки изменения тарифов.</w:t>
      </w:r>
    </w:p>
    <w:p>
      <w:pPr>
        <w:spacing w:after="120"/>
        <w:jc w:val="both"/>
      </w:pPr>
      <w:r>
        <w:rPr>
          <w:rFonts w:ascii="Arial" w:cs="Arial" w:eastAsia="Arial" w:hAnsi="Arial"/>
          <w:sz w:val="24"/>
          <w:szCs w:val="24"/>
        </w:rPr>
        <w:t xml:space="preserve">Для обеспечения устойчивого экономического роста деятельность Правительства направлена на продолжение реализации крупных инвестиционных проектов.</w:t>
      </w:r>
    </w:p>
    <w:p>
      <w:pPr>
        <w:spacing w:after="120"/>
        <w:jc w:val="both"/>
      </w:pPr>
      <w:r>
        <w:rPr>
          <w:rFonts w:ascii="Arial" w:cs="Arial" w:eastAsia="Arial" w:hAnsi="Arial"/>
          <w:sz w:val="24"/>
          <w:szCs w:val="24"/>
        </w:rPr>
        <w:t xml:space="preserve">Макроэкономическая устойчивость обеспечит стабильность макроэкономических показателей, определяющих устойчивость экономического развития,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120"/>
        <w:jc w:val="both"/>
      </w:pPr>
      <w:r>
        <w:rPr>
          <w:rFonts w:ascii="Arial" w:cs="Arial" w:eastAsia="Arial" w:hAnsi="Arial"/>
          <w:sz w:val="24"/>
          <w:szCs w:val="24"/>
        </w:rPr>
        <w:t xml:space="preserve">На основании произведенных расчетов, а также с учетом перечисленных отдельных предпосылок и предположений в 2018 году экономический рост ожидается на уровне 2,8 %, без учета предприятий по разработке месторождения Кумтор – 3,7 %. Номинальный объем ВВП ожидается в сумме 558,4 млрд сомов.</w:t>
      </w:r>
    </w:p>
    <w:p>
      <w:pPr>
        <w:spacing w:after="120"/>
        <w:jc w:val="both"/>
      </w:pPr>
      <w:r>
        <w:rPr>
          <w:rFonts w:ascii="Arial" w:cs="Arial" w:eastAsia="Arial" w:hAnsi="Arial"/>
          <w:sz w:val="24"/>
          <w:szCs w:val="24"/>
        </w:rPr>
        <w:t xml:space="preserve">Основные ожидаемые социально-экономические показатели в 2018 году сложатся следующим образом:</w:t>
      </w:r>
    </w:p>
    <w:p>
      <w:pPr>
        <w:spacing w:after="120"/>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8"/>
        <w:gridCol w:w="1310"/>
        <w:gridCol w:w="1207"/>
        <w:gridCol w:w="1084"/>
        <w:gridCol w:w="1201"/>
        <w:gridCol w:w="1043"/>
        <w:gridCol w:w="868"/>
        <w:gridCol w:w="1137"/>
      </w:tblGrid>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94901,5</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100034,7</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64225,1</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68134,4</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42933,9</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46469,0</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0,64</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249806,1</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269810,0</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69092,0</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73967,6</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экономический рост на уровне 2,8 % будет обеспечиваться положительным вкладом в ВВП всех отраслей экономики, в том числе за счет роста: производства сельского хозяйства – на 2,5 %; строительной отрасли – на 7,7 %; отраслей, оказывающих услуги, – на 2,9 %; промышленности – на 0,5 %. Наибольший вклад будет обеспечен со стороны отраслей, оказывающих услуги (1,40 процентного пункта), а вклады строительства (0,64 процентного пункта), промышленности (0,09 процентного пункта) и сельского хозяйства (0,31 процентного пункта) будут умеренными.</w:t>
      </w:r>
    </w:p>
    <w:p>
      <w:pPr>
        <w:spacing w:after="120"/>
        <w:jc w:val="both"/>
      </w:pPr>
      <w:r>
        <w:rPr>
          <w:rFonts w:ascii="Arial" w:cs="Arial" w:eastAsia="Arial" w:hAnsi="Arial"/>
          <w:sz w:val="24"/>
          <w:szCs w:val="24"/>
        </w:rPr>
        <w:t xml:space="preserve">В основных отраслях экономики ожидаемые показатели на 2018 год выглядят следующим образом:</w:t>
      </w:r>
    </w:p>
    <w:p>
      <w:pPr>
        <w:spacing w:after="120"/>
        <w:jc w:val="both"/>
      </w:pPr>
      <w:r>
        <w:rPr>
          <w:rFonts w:ascii="Arial" w:cs="Arial" w:eastAsia="Arial" w:hAnsi="Arial"/>
          <w:sz w:val="24"/>
          <w:szCs w:val="24"/>
        </w:rPr>
        <w:t xml:space="preserve">В сельском хозяйстве в 2018 году темп реального прироста ожидается на уровне 2,5 % за счет прироста в растениеводстве на 2,5 % и животноводстве – на 2,7 %. Удельный вес в общем объеме ВВП составит 12,2 %, а вклад в рост ВВП – 0,31 процентного пункта. В основу ожидаемых показателей в сельском хозяйстве заложены следующие предпосылки:</w:t>
      </w:r>
    </w:p>
    <w:p>
      <w:pPr>
        <w:spacing w:after="120"/>
        <w:jc w:val="both"/>
      </w:pPr>
      <w:r>
        <w:rPr>
          <w:rFonts w:ascii="Arial" w:cs="Arial" w:eastAsia="Arial" w:hAnsi="Arial"/>
          <w:sz w:val="24"/>
          <w:szCs w:val="24"/>
        </w:rPr>
        <w:t xml:space="preserve">влияние природно-климатического фактора;</w:t>
      </w:r>
    </w:p>
    <w:p>
      <w:pPr>
        <w:spacing w:after="120"/>
        <w:jc w:val="both"/>
      </w:pPr>
      <w:r>
        <w:rPr>
          <w:rFonts w:ascii="Arial" w:cs="Arial" w:eastAsia="Arial" w:hAnsi="Arial"/>
          <w:sz w:val="24"/>
          <w:szCs w:val="24"/>
        </w:rPr>
        <w:t xml:space="preserve">активное использование и внедрение фермерами систем капельного орошения, которые в два раза увеличат урожайность и позволят эффективно использовать водные ресурсы;</w:t>
      </w:r>
    </w:p>
    <w:p>
      <w:pPr>
        <w:spacing w:after="120"/>
        <w:jc w:val="both"/>
      </w:pPr>
      <w:r>
        <w:rPr>
          <w:rFonts w:ascii="Arial" w:cs="Arial" w:eastAsia="Arial" w:hAnsi="Arial"/>
          <w:sz w:val="24"/>
          <w:szCs w:val="24"/>
        </w:rPr>
        <w:t xml:space="preserve">продолжение развития тепличных хозяйств и наращивания объемов производства в хозяйстве;</w:t>
      </w:r>
    </w:p>
    <w:p>
      <w:pPr>
        <w:spacing w:after="120"/>
        <w:jc w:val="both"/>
      </w:pPr>
      <w:r>
        <w:rPr>
          <w:rFonts w:ascii="Arial" w:cs="Arial" w:eastAsia="Arial" w:hAnsi="Arial"/>
          <w:sz w:val="24"/>
          <w:szCs w:val="24"/>
        </w:rPr>
        <w:t xml:space="preserve">продолжение реализации программы льготного кредитования фермеров в рамках программы «Финансирование сельского хозяйства 6» и эффект от ранее предоставленных льготных кредитов, в рамках которых за 2011-2017 годы выдано более 20 млрд сомов;</w:t>
      </w:r>
    </w:p>
    <w:p>
      <w:pPr>
        <w:spacing w:after="120"/>
        <w:jc w:val="both"/>
      </w:pPr>
      <w:r>
        <w:rPr>
          <w:rFonts w:ascii="Arial" w:cs="Arial" w:eastAsia="Arial" w:hAnsi="Arial"/>
          <w:sz w:val="24"/>
          <w:szCs w:val="24"/>
        </w:rPr>
        <w:t xml:space="preserve">продолжение оказания государственной поддержки в выделении ГСМ, обеспечении фермеров необходимой сельхозтехникой на льготных кредитных условиях путем приобретения сельхозтехники в лизинг, в решении проблемы с обеспечением крестьян и фермеров азотными минеральными удобрениями;</w:t>
      </w:r>
    </w:p>
    <w:p>
      <w:pPr>
        <w:spacing w:after="120"/>
        <w:jc w:val="both"/>
      </w:pPr>
      <w:r>
        <w:rPr>
          <w:rFonts w:ascii="Arial" w:cs="Arial" w:eastAsia="Arial" w:hAnsi="Arial"/>
          <w:sz w:val="24"/>
          <w:szCs w:val="24"/>
        </w:rPr>
        <w:t xml:space="preserve">постепенное развитие центров хранения продукции и предприятий переработки по всем регионам республики.</w:t>
      </w:r>
    </w:p>
    <w:p>
      <w:pPr>
        <w:spacing w:after="120"/>
        <w:jc w:val="both"/>
      </w:pPr>
      <w:r>
        <w:rPr>
          <w:rFonts w:ascii="Arial" w:cs="Arial" w:eastAsia="Arial" w:hAnsi="Arial"/>
          <w:sz w:val="24"/>
          <w:szCs w:val="24"/>
        </w:rPr>
        <w:t xml:space="preserve">В промышленной отрасли</w:t>
      </w:r>
      <w:r>
        <w:rPr>
          <w:rFonts w:ascii="Arial" w:cs="Arial" w:eastAsia="Arial" w:hAnsi="Arial"/>
          <w:sz w:val="24"/>
          <w:szCs w:val="24"/>
        </w:rPr>
        <w:t xml:space="preserve">[11]</w:t>
      </w:r>
      <w:r>
        <w:rPr>
          <w:rFonts w:ascii="Arial" w:cs="Arial" w:eastAsia="Arial" w:hAnsi="Arial"/>
          <w:sz w:val="24"/>
          <w:szCs w:val="24"/>
        </w:rPr>
        <w:t xml:space="preserve"> в 2018 году в целом физический объем ожидается на уровне 101,7 % по сравнению с 2017 годом за счет:</w:t>
      </w:r>
    </w:p>
    <w:p>
      <w:pPr>
        <w:spacing w:after="120"/>
        <w:jc w:val="both"/>
      </w:pPr>
      <w:r>
        <w:rPr>
          <w:rFonts w:ascii="Arial" w:cs="Arial" w:eastAsia="Arial" w:hAnsi="Arial"/>
          <w:sz w:val="24"/>
          <w:szCs w:val="24"/>
        </w:rPr>
        <w:t xml:space="preserve">стабильной работы предприятий по разработке месторождения Кумтор;</w:t>
      </w:r>
    </w:p>
    <w:p>
      <w:pPr>
        <w:spacing w:after="120"/>
        <w:jc w:val="both"/>
      </w:pPr>
      <w:r>
        <w:rPr>
          <w:rFonts w:ascii="Arial" w:cs="Arial" w:eastAsia="Arial" w:hAnsi="Arial"/>
          <w:sz w:val="24"/>
          <w:szCs w:val="24"/>
        </w:rPr>
        <w:t xml:space="preserve">наращивания объемов производства основного металла на месторождении Талды-Булак Левобережный, где рост ожидается почти в 2,5 раза;</w:t>
      </w:r>
    </w:p>
    <w:p>
      <w:pPr>
        <w:spacing w:after="120"/>
        <w:jc w:val="both"/>
      </w:pPr>
      <w:r>
        <w:rPr>
          <w:rFonts w:ascii="Arial" w:cs="Arial" w:eastAsia="Arial" w:hAnsi="Arial"/>
          <w:sz w:val="24"/>
          <w:szCs w:val="24"/>
        </w:rPr>
        <w:t xml:space="preserve">реализации намеченных мероприятий по наращиванию добычи руды и концентратов золотосодержащих на месторождениях Бозымчак, Иштамберди, Жамгыр, Кайди;</w:t>
      </w:r>
    </w:p>
    <w:p>
      <w:pPr>
        <w:spacing w:after="120"/>
        <w:jc w:val="both"/>
      </w:pPr>
      <w:r>
        <w:rPr>
          <w:rFonts w:ascii="Arial" w:cs="Arial" w:eastAsia="Arial" w:hAnsi="Arial"/>
          <w:sz w:val="24"/>
          <w:szCs w:val="24"/>
        </w:rPr>
        <w:t xml:space="preserve">обеспечения запланированных объемов производства на угледобывающих предприятиях и предприятиях по добыче нефти и газа;</w:t>
      </w:r>
    </w:p>
    <w:p>
      <w:pPr>
        <w:spacing w:after="120"/>
        <w:jc w:val="both"/>
      </w:pPr>
      <w:r>
        <w:rPr>
          <w:rFonts w:ascii="Arial" w:cs="Arial" w:eastAsia="Arial" w:hAnsi="Arial"/>
          <w:sz w:val="24"/>
          <w:szCs w:val="24"/>
        </w:rPr>
        <w:t xml:space="preserve">наращивания объемов текстильного и швейного производств, где прирост производства одежды и обуви, кожи и прочих кожаных изделий (текстильно-швейное производство) ожидается на уровне 10,0 %;</w:t>
      </w:r>
    </w:p>
    <w:p>
      <w:pPr>
        <w:spacing w:after="120"/>
        <w:jc w:val="both"/>
      </w:pPr>
      <w:r>
        <w:rPr>
          <w:rFonts w:ascii="Arial" w:cs="Arial" w:eastAsia="Arial" w:hAnsi="Arial"/>
          <w:sz w:val="24"/>
          <w:szCs w:val="24"/>
        </w:rPr>
        <w:t xml:space="preserve">роста объемов производства продуктов (включая напитки) и табачных изделий на уровне 105,0 %;</w:t>
      </w:r>
    </w:p>
    <w:p>
      <w:pPr>
        <w:spacing w:after="120"/>
        <w:jc w:val="both"/>
      </w:pPr>
      <w:r>
        <w:rPr>
          <w:rFonts w:ascii="Arial" w:cs="Arial" w:eastAsia="Arial" w:hAnsi="Arial"/>
          <w:sz w:val="24"/>
          <w:szCs w:val="24"/>
        </w:rPr>
        <w:t xml:space="preserve">наращивания объемов производства Кара-Балтинского НПЗ «Джунда», Токмокского и Джалал-Абадского НПЗ в количестве до 460 тыс. т, где ожидается прирост на 24,8 % по сравнению с объемами 2017 года;</w:t>
      </w:r>
    </w:p>
    <w:p>
      <w:pPr>
        <w:spacing w:after="120"/>
        <w:jc w:val="both"/>
      </w:pPr>
      <w:r>
        <w:rPr>
          <w:rFonts w:ascii="Arial" w:cs="Arial" w:eastAsia="Arial" w:hAnsi="Arial"/>
          <w:sz w:val="24"/>
          <w:szCs w:val="24"/>
        </w:rPr>
        <w:t xml:space="preserve">прироста производства строительных материалов на 7 % за счет наращивания производственной мощности открытого акционерного общества (далее – ОАО) «Интергласс», увеличения объема производства цемента и полной реализации инвестиционных проектов в строительстве;</w:t>
      </w:r>
    </w:p>
    <w:p>
      <w:pPr>
        <w:spacing w:after="120"/>
        <w:jc w:val="both"/>
      </w:pPr>
      <w:r>
        <w:rPr>
          <w:rFonts w:ascii="Arial" w:cs="Arial" w:eastAsia="Arial" w:hAnsi="Arial"/>
          <w:sz w:val="24"/>
          <w:szCs w:val="24"/>
        </w:rPr>
        <w:t xml:space="preserve">выработки электроэнергии, ее передачи и распределения с приростом на 3,0 %;</w:t>
      </w:r>
    </w:p>
    <w:p>
      <w:pPr>
        <w:spacing w:after="120"/>
        <w:jc w:val="both"/>
      </w:pPr>
      <w:r>
        <w:rPr>
          <w:rFonts w:ascii="Arial" w:cs="Arial" w:eastAsia="Arial" w:hAnsi="Arial"/>
          <w:sz w:val="24"/>
          <w:szCs w:val="24"/>
        </w:rPr>
        <w:t xml:space="preserve">запуска простаивающих предприятий, находящихся в регионах страны и др.</w:t>
      </w:r>
    </w:p>
    <w:p>
      <w:pPr>
        <w:spacing w:after="120"/>
        <w:jc w:val="both"/>
      </w:pPr>
      <w:r>
        <w:rPr>
          <w:rFonts w:ascii="Arial" w:cs="Arial" w:eastAsia="Arial" w:hAnsi="Arial"/>
          <w:sz w:val="24"/>
          <w:szCs w:val="24"/>
        </w:rPr>
        <w:t xml:space="preserve">В промышленном производстве, без учета предприятий по разработке месторождения Кумтор, ожидается сохранение положительной динамики, достигнутой в 2017 году, и рост объема производства в 2018 году на уровне 107,4 %.</w:t>
      </w:r>
    </w:p>
    <w:p>
      <w:pPr>
        <w:spacing w:after="120"/>
        <w:jc w:val="both"/>
      </w:pPr>
      <w:r>
        <w:rPr>
          <w:rFonts w:ascii="Arial" w:cs="Arial" w:eastAsia="Arial" w:hAnsi="Arial"/>
          <w:sz w:val="24"/>
          <w:szCs w:val="24"/>
        </w:rPr>
        <w:t xml:space="preserve">Вклад промышленности в рост ВВП ожидается на уровне 0,09 процентного пункта, и в целом промышленность в общем объеме ВВП составит 17,9 %.</w:t>
      </w:r>
    </w:p>
    <w:p>
      <w:pPr>
        <w:spacing w:after="120"/>
        <w:jc w:val="both"/>
      </w:pPr>
      <w:r>
        <w:rPr>
          <w:rFonts w:ascii="Arial" w:cs="Arial" w:eastAsia="Arial" w:hAnsi="Arial"/>
          <w:sz w:val="24"/>
          <w:szCs w:val="24"/>
        </w:rPr>
        <w:t xml:space="preserve">Основные риски невыполнения ожидаемых показателей:</w:t>
      </w:r>
    </w:p>
    <w:p>
      <w:pPr>
        <w:spacing w:after="120"/>
        <w:jc w:val="both"/>
      </w:pPr>
      <w:r>
        <w:rPr>
          <w:rFonts w:ascii="Arial" w:cs="Arial" w:eastAsia="Arial" w:hAnsi="Arial"/>
          <w:sz w:val="24"/>
          <w:szCs w:val="24"/>
        </w:rPr>
        <w:t xml:space="preserve">недостижение заложенных ожидаемых объемов добычи на руднике Кумтор, которые могут быть связаны с оценкой минеральных запасов (неподтверждение запасов руды), высоким уровнем графитого углерода для извлечения на золотоизвлекательной фабрике, геотехническими рисками (устойчивость бортов карьера, движение ледника, отвалы пустой породы и т.д.);</w:t>
      </w:r>
    </w:p>
    <w:p>
      <w:pPr>
        <w:spacing w:after="120"/>
        <w:jc w:val="both"/>
      </w:pPr>
      <w:r>
        <w:rPr>
          <w:rFonts w:ascii="Arial" w:cs="Arial" w:eastAsia="Arial" w:hAnsi="Arial"/>
          <w:sz w:val="24"/>
          <w:szCs w:val="24"/>
        </w:rPr>
        <w:t xml:space="preserve">низкая рентабельность производства золота, которая препятствует дальнейшему развитию золотодобывающих филиалов ОАО «Кыргызалтын»;</w:t>
      </w:r>
    </w:p>
    <w:p>
      <w:pPr>
        <w:spacing w:after="120"/>
        <w:jc w:val="both"/>
      </w:pPr>
      <w:r>
        <w:rPr>
          <w:rFonts w:ascii="Arial" w:cs="Arial" w:eastAsia="Arial" w:hAnsi="Arial"/>
          <w:sz w:val="24"/>
          <w:szCs w:val="24"/>
        </w:rPr>
        <w:t xml:space="preserve">нерешенность вопросов по выдаче разрешений на рубку особо ценных древесных пород в Кыргызской Республике, процедуре трансформации и предоставления земельных участков, необходимых для строительства объектов инфраструктуры, что может повлиять на пересмотр производственных планов общества с ограниченной ответственностью (далее – ОсОО) «Каз Минералз Бозымчак»;</w:t>
      </w:r>
    </w:p>
    <w:p>
      <w:pPr>
        <w:spacing w:after="120"/>
        <w:jc w:val="both"/>
      </w:pPr>
      <w:r>
        <w:rPr>
          <w:rFonts w:ascii="Arial" w:cs="Arial" w:eastAsia="Arial" w:hAnsi="Arial"/>
          <w:sz w:val="24"/>
          <w:szCs w:val="24"/>
        </w:rPr>
        <w:t xml:space="preserve">волатильность цен на сырьевые ресурсы;</w:t>
      </w:r>
    </w:p>
    <w:p>
      <w:pPr>
        <w:spacing w:after="120"/>
        <w:jc w:val="both"/>
      </w:pPr>
      <w:r>
        <w:rPr>
          <w:rFonts w:ascii="Arial" w:cs="Arial" w:eastAsia="Arial" w:hAnsi="Arial"/>
          <w:sz w:val="24"/>
          <w:szCs w:val="24"/>
        </w:rPr>
        <w:t xml:space="preserve">технологические сбои в производстве – неритмичность подачи газа и электроэнергии, сырья и комплектующих материалов на промышленные предприятия, аварии и отказы оборудования вследствие повышенной изношенности и др.;</w:t>
      </w:r>
    </w:p>
    <w:p>
      <w:pPr>
        <w:spacing w:after="120"/>
        <w:jc w:val="both"/>
      </w:pPr>
      <w:r>
        <w:rPr>
          <w:rFonts w:ascii="Arial" w:cs="Arial" w:eastAsia="Arial" w:hAnsi="Arial"/>
          <w:sz w:val="24"/>
          <w:szCs w:val="24"/>
        </w:rPr>
        <w:t xml:space="preserve">уменьшение спроса/заказов на продукцию промышленных предприятий;</w:t>
      </w:r>
    </w:p>
    <w:p>
      <w:pPr>
        <w:spacing w:after="120"/>
        <w:jc w:val="both"/>
      </w:pPr>
      <w:r>
        <w:rPr>
          <w:rFonts w:ascii="Arial" w:cs="Arial" w:eastAsia="Arial" w:hAnsi="Arial"/>
          <w:sz w:val="24"/>
          <w:szCs w:val="24"/>
        </w:rPr>
        <w:t xml:space="preserve">низкая неплатежеспособность покупателей;</w:t>
      </w:r>
    </w:p>
    <w:p>
      <w:pPr>
        <w:spacing w:after="120"/>
        <w:jc w:val="both"/>
      </w:pPr>
      <w:r>
        <w:rPr>
          <w:rFonts w:ascii="Arial" w:cs="Arial" w:eastAsia="Arial" w:hAnsi="Arial"/>
          <w:sz w:val="24"/>
          <w:szCs w:val="24"/>
        </w:rPr>
        <w:t xml:space="preserve">наступление неблагоприятных природно-климатических условий для выработки электроэнергии.</w:t>
      </w:r>
    </w:p>
    <w:p>
      <w:pPr>
        <w:spacing w:after="120"/>
        <w:jc w:val="both"/>
      </w:pPr>
      <w:r>
        <w:rPr>
          <w:rFonts w:ascii="Arial" w:cs="Arial" w:eastAsia="Arial" w:hAnsi="Arial"/>
          <w:sz w:val="24"/>
          <w:szCs w:val="24"/>
        </w:rPr>
        <w:t xml:space="preserve">В отрасли строительства в 2018 году ожидается увеличение общего объема капитальных вложений, который составит 159,3 млрд сомов, за счет увеличения объемов:</w:t>
      </w:r>
    </w:p>
    <w:p>
      <w:pPr>
        <w:spacing w:after="120"/>
        <w:jc w:val="both"/>
      </w:pPr>
      <w:r>
        <w:rPr>
          <w:rFonts w:ascii="Arial" w:cs="Arial" w:eastAsia="Arial" w:hAnsi="Arial"/>
          <w:sz w:val="24"/>
          <w:szCs w:val="24"/>
        </w:rPr>
        <w:t xml:space="preserve">расходов республиканского бюджета по статье «Капитальные вложения», где предусмотрены средства в сумме 2 900 млн сомов;</w:t>
      </w:r>
    </w:p>
    <w:p>
      <w:pPr>
        <w:spacing w:after="120"/>
        <w:jc w:val="both"/>
      </w:pPr>
      <w:r>
        <w:rPr>
          <w:rFonts w:ascii="Arial" w:cs="Arial" w:eastAsia="Arial" w:hAnsi="Arial"/>
          <w:sz w:val="24"/>
          <w:szCs w:val="24"/>
        </w:rPr>
        <w:t xml:space="preserve">капитальных вложений предприятий и организаций со стороны закрытого акционерного общества (далее – ЗАО) «Кумтор Голд компани» (4 340,7 млн сомов), ОАО «Кыргызалтын» (54,3 млн сомов) и др.;</w:t>
      </w:r>
    </w:p>
    <w:p>
      <w:pPr>
        <w:spacing w:after="120"/>
        <w:jc w:val="both"/>
      </w:pPr>
      <w:r>
        <w:rPr>
          <w:rFonts w:ascii="Arial" w:cs="Arial" w:eastAsia="Arial" w:hAnsi="Arial"/>
          <w:sz w:val="24"/>
          <w:szCs w:val="24"/>
        </w:rPr>
        <w:t xml:space="preserve">государственных инвестиций на 2018 год в сумме 39 252,8 млн сомов. Наибольшие объемы финансирования предусмотрены в секторе транспорта – всего в размере 18 463,2 млн сомов (47,0 % от государственных инвестиций). В энергетической отрасли объемы финансирования предусмотрены в сумме 6 730,4 млн сомов (17,1 % от проектов государственных инвестиций);</w:t>
      </w:r>
    </w:p>
    <w:p>
      <w:pPr>
        <w:spacing w:after="120"/>
        <w:jc w:val="both"/>
      </w:pPr>
      <w:r>
        <w:rPr>
          <w:rFonts w:ascii="Arial" w:cs="Arial" w:eastAsia="Arial" w:hAnsi="Arial"/>
          <w:sz w:val="24"/>
          <w:szCs w:val="24"/>
        </w:rPr>
        <w:t xml:space="preserve">прямых иностранных инвестиций: ОсОО «Алтынкен» (18,4 млн сомов), ОАО «Альянс Алтын» (9 404,5 млн сомов), ОсОО «Каз Минералз Бозымчак» (1 412,4 млн сомов), ОсОО «Газпром Кыргызстан» (6 242,6 млн сомов).</w:t>
      </w:r>
    </w:p>
    <w:p>
      <w:pPr>
        <w:spacing w:after="120"/>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2018 году на 7,7 %, который составит 151,8 млрд сомов. Положительный вклад строительной отрасли в темпы экономического роста составит 0,64 процентного пункта, а удельный вес в структуре производства ВВП – 8,3 %;</w:t>
      </w:r>
    </w:p>
    <w:p>
      <w:pPr>
        <w:spacing w:after="120"/>
        <w:jc w:val="both"/>
      </w:pPr>
      <w:r>
        <w:rPr>
          <w:rFonts w:ascii="Arial" w:cs="Arial" w:eastAsia="Arial" w:hAnsi="Arial"/>
          <w:sz w:val="24"/>
          <w:szCs w:val="24"/>
        </w:rPr>
        <w:t xml:space="preserve">Сфера услуг, по-прежнему, будет занимать доминирующую долю в структуре ВВП (48,3 %), в 2018 году реальный прирост сферы услуг ожидается на уровне 3,0 % за счет прироста валового выпуска торговли – на уровне 5,0 %, услуг транспортной деятельности и хранения грузов – на уровне 6,0 %. При этом, вклад услуг связи будет отрицательным и темп реального роста составит 97,5 %. Показатели сферы услуг будут достигнуты за счет таких факторов, как:</w:t>
      </w:r>
    </w:p>
    <w:p>
      <w:pPr>
        <w:spacing w:after="120"/>
        <w:jc w:val="both"/>
      </w:pPr>
      <w:r>
        <w:rPr>
          <w:rFonts w:ascii="Arial" w:cs="Arial" w:eastAsia="Arial" w:hAnsi="Arial"/>
          <w:sz w:val="24"/>
          <w:szCs w:val="24"/>
        </w:rPr>
        <w:t xml:space="preserve">увеличение потребительского спроса;</w:t>
      </w:r>
    </w:p>
    <w:p>
      <w:pPr>
        <w:spacing w:after="120"/>
        <w:jc w:val="both"/>
      </w:pPr>
      <w:r>
        <w:rPr>
          <w:rFonts w:ascii="Arial" w:cs="Arial" w:eastAsia="Arial" w:hAnsi="Arial"/>
          <w:sz w:val="24"/>
          <w:szCs w:val="24"/>
        </w:rPr>
        <w:t xml:space="preserve">улучшение условий для отечественных грузоперевозчиков в оказании услуг по международным перевозкам в рамках интеграции республики в ЕАЭС;</w:t>
      </w:r>
    </w:p>
    <w:p>
      <w:pPr>
        <w:spacing w:after="120"/>
        <w:jc w:val="both"/>
      </w:pPr>
      <w:r>
        <w:rPr>
          <w:rFonts w:ascii="Arial" w:cs="Arial" w:eastAsia="Arial" w:hAnsi="Arial"/>
          <w:sz w:val="24"/>
          <w:szCs w:val="24"/>
        </w:rPr>
        <w:t xml:space="preserve">рост реальных денежных доходов населения (заработная плата);</w:t>
      </w:r>
    </w:p>
    <w:p>
      <w:pPr>
        <w:spacing w:after="120"/>
        <w:jc w:val="both"/>
      </w:pPr>
      <w:r>
        <w:rPr>
          <w:rFonts w:ascii="Arial" w:cs="Arial" w:eastAsia="Arial" w:hAnsi="Arial"/>
          <w:sz w:val="24"/>
          <w:szCs w:val="24"/>
        </w:rPr>
        <w:t xml:space="preserve">маркетинговая кампания и успешное проведение Всемирных игр кочевников в 2018 году дадут стимул развитию оптовой и розничной торговли, а также услуг информации и связи;</w:t>
      </w:r>
    </w:p>
    <w:p>
      <w:pPr>
        <w:spacing w:after="120"/>
        <w:jc w:val="both"/>
      </w:pPr>
      <w:r>
        <w:rPr>
          <w:rFonts w:ascii="Arial" w:cs="Arial" w:eastAsia="Arial" w:hAnsi="Arial"/>
          <w:sz w:val="24"/>
          <w:szCs w:val="24"/>
        </w:rPr>
        <w:t xml:space="preserve">реализация Программы Правительства Кыргызской Республики по развитию сферы туризма до 2020 года;</w:t>
      </w:r>
    </w:p>
    <w:p>
      <w:pPr>
        <w:spacing w:after="120"/>
        <w:jc w:val="both"/>
      </w:pPr>
      <w:r>
        <w:rPr>
          <w:rFonts w:ascii="Arial" w:cs="Arial" w:eastAsia="Arial" w:hAnsi="Arial"/>
          <w:sz w:val="24"/>
          <w:szCs w:val="24"/>
        </w:rPr>
        <w:t xml:space="preserve">восстановление положительной динамики развития рыночных услуг связи.</w:t>
      </w:r>
    </w:p>
    <w:p>
      <w:pPr>
        <w:spacing w:after="120"/>
        <w:jc w:val="both"/>
      </w:pPr>
      <w:r>
        <w:rPr>
          <w:rFonts w:ascii="Arial" w:cs="Arial" w:eastAsia="Arial" w:hAnsi="Arial"/>
          <w:sz w:val="24"/>
          <w:szCs w:val="24"/>
        </w:rPr>
        <w:t xml:space="preserve">Наряду с этим, учитывая текущую ситуацию в стране, динамику темпов роста отдельных отраслей/секторов экономики, присутствует риск невыполнения целевых ориентиров по макроэкономическим показателям, заложенных на 2018 год.</w:t>
      </w:r>
    </w:p>
    <w:p>
      <w:pPr>
        <w:spacing w:after="120"/>
        <w:jc w:val="right"/>
      </w:pPr>
      <w:r>
        <w:rPr>
          <w:rFonts w:ascii="Arial" w:cs="Arial" w:eastAsia="Arial" w:hAnsi="Arial"/>
          <w:sz w:val="24"/>
          <w:szCs w:val="24"/>
        </w:rPr>
        <w:t xml:space="preserve">Таблица 9</w:t>
      </w:r>
    </w:p>
    <w:p>
      <w:pPr>
        <w:spacing w:after="120"/>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4"/>
        <w:gridCol w:w="1107"/>
        <w:gridCol w:w="1289"/>
        <w:gridCol w:w="1209"/>
        <w:gridCol w:w="1209"/>
        <w:gridCol w:w="1209"/>
      </w:tblGrid>
      <w:tr>
        <w:tc>
          <w:tcPr>
            <w:tcW w:type="dxa" w:w="41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январь-февраль</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январь-апрель</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май</w:t>
            </w:r>
          </w:p>
        </w:tc>
      </w:tr>
      <w:tr>
        <w:tc>
          <w:tcPr>
            <w:tcW w:type="dxa" w:w="4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ВВП</w:t>
            </w:r>
          </w:p>
        </w:tc>
        <w:tc>
          <w:tcPr>
            <w:tcW w:type="dxa" w:w="11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6 месяцев 2018 года промышленный сектор продолжает демонстрировать нисходящий тренд и третий месяц подряд находится в отрицательной зоне, что связано со снижением объемов производства добычи металлических руд на 52,8 % (справочно: основные причины снижения связаны с консервацией обогатительной фабрики рудника «Иштамберды» на период с ноября 2017 года по апрель 2018 года в связи с нехваткой электроэнергии в зимний период, выполняется реконструкция подстанции «Шекафтар» для обеспечения электроэнергией в зимнее время года; переходом ОсОО «Алтынкен» (месторождение «Талды-Булак Левобережный) на производство основного металла и, соответственно, сокращением объемов концентратов; частыми остановками производства из-за противостояния местного населения с инвесторами; высокой базой прошлых лет и достижением уровня производственной мощности объектов), производства основных металлов на 14,4 % и т.д. Присутствует риск невыполнения заложенных ожидаемых объемов добычи на руднике Кумтор, против заявленных в их производственном плане.</w:t>
      </w:r>
    </w:p>
    <w:p>
      <w:pPr>
        <w:spacing w:after="120"/>
        <w:jc w:val="both"/>
      </w:pPr>
      <w:r>
        <w:rPr>
          <w:rFonts w:ascii="Arial" w:cs="Arial" w:eastAsia="Arial" w:hAnsi="Arial"/>
          <w:sz w:val="24"/>
          <w:szCs w:val="24"/>
        </w:rPr>
        <w:t xml:space="preserve">Неблагоприятное влияние природно-климатического фактора в отдельных сельскохозяйственных зонах из-за малоснежной зимы, затяжного процесса наступления весны, а также выпадения осадков (снег, град) в весенние месяцы (апрель-май) в отдельных областях/районах республики могут привести к тому, что агропромышленный сектор сложится ниже заявленного уровня в 2,5 %.</w:t>
      </w:r>
    </w:p>
    <w:p>
      <w:pPr>
        <w:spacing w:after="120"/>
        <w:jc w:val="both"/>
      </w:pPr>
      <w:r>
        <w:rPr>
          <w:rFonts w:ascii="Arial" w:cs="Arial" w:eastAsia="Arial" w:hAnsi="Arial"/>
          <w:sz w:val="24"/>
          <w:szCs w:val="24"/>
        </w:rPr>
        <w:t xml:space="preserve">Продолжающееся снижение объемов услуг связи (в январе-июне 2018 года темп роста снизился на 7,4 % в сравнении с аналогичным периодом прошлого года) и риск замедления услуг транспорта (наблюдается замедление с 2012 года грузооборота на железнодорожном транспорте и снижение данного показателя в 2015-2016 гг. (порядка (-)12 %), что связано с введением и функционированием унифицированного тарифа на ж/д перевозки грузов между Кыргызской Республикой и Республикой Казахстан, а также мелкотоварным характером экспорта товаров), и оптовой торговли (показатель замедлился с 2012 года по 2017 год на 5,4 процентного пункта, что связано с насыщением внутреннего рынка товаров, в том числе товаров длительного пользования, и перестроением экспортных и импортных отношений государства в связи со вступлением в Евразийский экономический союз с изменением отдельных правил) могут отрицательно повлиять на темпы роста в сфере услуг.</w:t>
      </w:r>
    </w:p>
    <w:p>
      <w:pPr>
        <w:spacing w:after="120"/>
        <w:jc w:val="both"/>
      </w:pPr>
      <w:r>
        <w:rPr>
          <w:rFonts w:ascii="Arial" w:cs="Arial" w:eastAsia="Arial" w:hAnsi="Arial"/>
          <w:sz w:val="24"/>
          <w:szCs w:val="24"/>
        </w:rPr>
        <w:t xml:space="preserve">Кроме того, развитие отраслей, оказывающих услуги, начиная с 2011 года, имеет нисходящую траекторию роста и в настоящее время по итогам 6 месяцев 2018 года прирост составляет всего 1,5 %.</w:t>
      </w:r>
    </w:p>
    <w:p>
      <w:pPr>
        <w:spacing w:after="120"/>
        <w:jc w:val="right"/>
      </w:pPr>
      <w:r>
        <w:rPr>
          <w:rFonts w:ascii="Arial" w:cs="Arial" w:eastAsia="Arial" w:hAnsi="Arial"/>
          <w:sz w:val="24"/>
          <w:szCs w:val="24"/>
        </w:rPr>
        <w:t xml:space="preserve">Таблица 10</w:t>
      </w:r>
    </w:p>
    <w:p>
      <w:pPr>
        <w:spacing w:after="120"/>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984"/>
        <w:gridCol w:w="1017"/>
        <w:gridCol w:w="978"/>
        <w:gridCol w:w="970"/>
        <w:gridCol w:w="1045"/>
        <w:gridCol w:w="1089"/>
        <w:gridCol w:w="965"/>
        <w:gridCol w:w="1251"/>
      </w:tblGrid>
      <w:tr>
        <w:tc>
          <w:tcPr>
            <w:tcW w:type="dxa" w:w="18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10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0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9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июнь 2018 г.</w:t>
            </w:r>
          </w:p>
        </w:tc>
      </w:tr>
      <w:tr>
        <w:tc>
          <w:tcPr>
            <w:tcW w:type="dxa" w:w="1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сферы услуг</w:t>
            </w:r>
          </w:p>
        </w:tc>
        <w:tc>
          <w:tcPr>
            <w:tcW w:type="dxa" w:w="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2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Присутствует также риск в строительной отрасли, где отсутствие дополнительных подтвержденных капитальных вложений, возможные в недостаточном объеме финансирование запланированных объемов капитальных вложений и несвоевременная сдача объектов могут привести к более низким показателям, чем ожидается.</w:t>
      </w:r>
    </w:p>
    <w:p>
      <w:pPr>
        <w:spacing w:after="120"/>
        <w:jc w:val="both"/>
      </w:pPr>
      <w:r>
        <w:rPr>
          <w:rFonts w:ascii="Arial" w:cs="Arial" w:eastAsia="Arial" w:hAnsi="Arial"/>
          <w:sz w:val="24"/>
          <w:szCs w:val="24"/>
        </w:rPr>
        <w:t xml:space="preserve">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изменение тарифной политики, ежемесячный пересчет тарифов на реализацию природного газа, повышение процентной ставки ФРС, повышение розничной цены на табачные изделия и т.д.). Среднегодовой уровень инфляции в 2018 году ожидается на уровне 102,5 % (январь-декабрь 2018 года к январю-декабрю 2017 года). Основными факторами, влияющими на уровень инфляции, могут быть:</w:t>
      </w:r>
    </w:p>
    <w:p>
      <w:pPr>
        <w:spacing w:after="120"/>
        <w:jc w:val="both"/>
      </w:pPr>
      <w:r>
        <w:rPr>
          <w:rFonts w:ascii="Arial" w:cs="Arial" w:eastAsia="Arial" w:hAnsi="Arial"/>
          <w:sz w:val="24"/>
          <w:szCs w:val="24"/>
        </w:rPr>
        <w:t xml:space="preserve">сохранение благоприятной ценовой конъюнктуры на мировых рынках продовольствия и сырья;</w:t>
      </w:r>
    </w:p>
    <w:p>
      <w:pPr>
        <w:spacing w:after="120"/>
        <w:jc w:val="both"/>
      </w:pPr>
      <w:r>
        <w:rPr>
          <w:rFonts w:ascii="Arial" w:cs="Arial" w:eastAsia="Arial" w:hAnsi="Arial"/>
          <w:sz w:val="24"/>
          <w:szCs w:val="24"/>
        </w:rPr>
        <w:t xml:space="preserve">сезонные колебания цен на продовольственные товары (фрукты, овощи);</w:t>
      </w:r>
    </w:p>
    <w:p>
      <w:pPr>
        <w:spacing w:after="120"/>
        <w:jc w:val="both"/>
      </w:pPr>
      <w:r>
        <w:rPr>
          <w:rFonts w:ascii="Arial" w:cs="Arial" w:eastAsia="Arial" w:hAnsi="Arial"/>
          <w:sz w:val="24"/>
          <w:szCs w:val="24"/>
        </w:rPr>
        <w:t xml:space="preserve">увеличение внутреннего спроса, главным образом, за счет роста денежных переводов;</w:t>
      </w:r>
    </w:p>
    <w:p>
      <w:pPr>
        <w:spacing w:after="120"/>
        <w:jc w:val="both"/>
      </w:pPr>
      <w:r>
        <w:rPr>
          <w:rFonts w:ascii="Arial" w:cs="Arial" w:eastAsia="Arial" w:hAnsi="Arial"/>
          <w:sz w:val="24"/>
          <w:szCs w:val="24"/>
        </w:rPr>
        <w:t xml:space="preserve">ежемесячный пересчет тарифов на реализацию природного газа для всех категорий потребителей в связи с волатильностью курса национальной валюты по отношению к доллару США;</w:t>
      </w:r>
    </w:p>
    <w:p>
      <w:pPr>
        <w:spacing w:after="120"/>
        <w:jc w:val="both"/>
      </w:pPr>
      <w:r>
        <w:rPr>
          <w:rFonts w:ascii="Arial" w:cs="Arial" w:eastAsia="Arial" w:hAnsi="Arial"/>
          <w:sz w:val="24"/>
          <w:szCs w:val="24"/>
        </w:rPr>
        <w:t xml:space="preserve">повышение процентной ставки ФРС, которая напрямую оказывает влияние на стоимость доллара для экономики (ожидается двукратное повышение ставки в 2018 году), что может повлечь удорожание импортных товаров, которые занимают в потребительской корзине львиную долю;</w:t>
      </w:r>
    </w:p>
    <w:p>
      <w:pPr>
        <w:spacing w:after="120"/>
        <w:jc w:val="both"/>
      </w:pPr>
      <w:r>
        <w:rPr>
          <w:rFonts w:ascii="Arial" w:cs="Arial" w:eastAsia="Arial" w:hAnsi="Arial"/>
          <w:sz w:val="24"/>
          <w:szCs w:val="24"/>
        </w:rPr>
        <w:t xml:space="preserve">действие постановления Правительства Кыргызской Республики «Об установлении минимальных розничных цен на сигареты с фильтром и сигареты без фильтра» от 13 декабря 2016 года № 668, где была установлена минимальная розничная цена на сигареты с фильтром и сигареты без фильтра (с 1 января по 31 декабря 2018 года цена за 20 сигарет увеличивается с 40 до 50 сомов), что приведет к росту цен на табачные изделия;</w:t>
      </w:r>
    </w:p>
    <w:p>
      <w:pPr>
        <w:spacing w:after="120"/>
        <w:jc w:val="both"/>
      </w:pPr>
      <w:r>
        <w:rPr>
          <w:rFonts w:ascii="Arial" w:cs="Arial" w:eastAsia="Arial" w:hAnsi="Arial"/>
          <w:sz w:val="24"/>
          <w:szCs w:val="24"/>
        </w:rPr>
        <w:t xml:space="preserve">повышение цен на ГСМ, связанное с ростом цен в Российской Федерации по причине остановки одной из ключевых установок Московского нефтеперерабатывающего завода и роста цены на нефть на внешних рынках;</w:t>
      </w:r>
    </w:p>
    <w:p>
      <w:pPr>
        <w:spacing w:after="120"/>
        <w:jc w:val="both"/>
      </w:pPr>
      <w:r>
        <w:rPr>
          <w:rFonts w:ascii="Arial" w:cs="Arial" w:eastAsia="Arial" w:hAnsi="Arial"/>
          <w:sz w:val="24"/>
          <w:szCs w:val="24"/>
        </w:rPr>
        <w:t xml:space="preserve">инфляционные ожидания населения.</w:t>
      </w:r>
    </w:p>
    <w:p>
      <w:pPr>
        <w:spacing w:after="120"/>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улучшения или ухудшения внешней конъюнктуры рынка. Рост уровня инфляции в Российской Федерации ожидается на уровне 4,0 %, Республике Казахстан – в коридоре 5,0-7,0 %, Республике Беларусь – до 6 %, Республике Армения – до 4,0 %.</w:t>
      </w:r>
    </w:p>
    <w:p>
      <w:pPr>
        <w:spacing w:after="120"/>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45,4 %) и непродовольственных товаров (удельный вес – 29,0 %) ввозится из стран – основных торговых партнеров и оплачивается в иностранной валюте, что также будет оказывать определенное влияние на рост/снижение цен, который будет зависеть от колебания обменного курса, а также роста/снижения цен на продовольственные товары и импорт.</w:t>
      </w:r>
    </w:p>
    <w:p>
      <w:pPr>
        <w:spacing w:after="120"/>
        <w:jc w:val="both"/>
      </w:pPr>
      <w:r>
        <w:rPr>
          <w:rFonts w:ascii="Arial" w:cs="Arial" w:eastAsia="Arial" w:hAnsi="Arial"/>
          <w:sz w:val="24"/>
          <w:szCs w:val="24"/>
        </w:rPr>
        <w:t xml:space="preserve">Воздействие на инфляцию будут продолжать оказывать прогнозы международных организаций по основным видам продуктов, которые будут положительно/отрицательно сказываться на динамике потребительских цен на продовольственные товары.</w:t>
      </w:r>
    </w:p>
    <w:p>
      <w:pPr>
        <w:spacing w:after="120"/>
        <w:jc w:val="both"/>
      </w:pPr>
      <w:r>
        <w:rPr>
          <w:rFonts w:ascii="Arial" w:cs="Arial" w:eastAsia="Arial" w:hAnsi="Arial"/>
          <w:sz w:val="24"/>
          <w:szCs w:val="24"/>
        </w:rPr>
        <w:t xml:space="preserve">По новому прогнозу Продовольственной и Сельскохозяйственной Организации ООН (далее - ФАО) ожидается более низкий урожай пшеницы в 2018 году, что связано с менее благоприятными погодными условиями и снижением цен. Производство пшеницы ожидается на уровне 750 млн тонн, что на 7 млн тонн меньше 2017 года. ФАО прогнозирует, что объем международной торговли всеми видами зерновых в сезоне 2017-2018 годов достигнет 406,6 млн тонн, что несколько выше прогноза прошлого месяца и на 0,2 % (почти 0,9 млн тонн) выше рекордного уровня прошлого года.</w:t>
      </w:r>
    </w:p>
    <w:p>
      <w:pPr>
        <w:spacing w:after="120"/>
        <w:jc w:val="both"/>
      </w:pPr>
      <w:r>
        <w:rPr>
          <w:rFonts w:ascii="Arial" w:cs="Arial" w:eastAsia="Arial" w:hAnsi="Arial"/>
          <w:sz w:val="24"/>
          <w:szCs w:val="24"/>
        </w:rPr>
        <w:t xml:space="preserve">Объем торговли пшеницей в мире в 2017-2018 сельскохозяйственном году (июнь-июль) прогнозируется на уровне 173,8 млн тонн, практически не изменившись по сравнению с февральскими показателями вследствие сохранения импортного спроса на стабильном уровне практически во всех регионах. При этом, экспортных запасов будет более чем достаточно для удовлетворения спроса в мире: увеличение экспорта из Российской Федерации позволит компенсировать снижение предложения из других ведущих стран-экспортеров.</w:t>
      </w:r>
    </w:p>
    <w:p>
      <w:pPr>
        <w:spacing w:after="120"/>
        <w:jc w:val="both"/>
      </w:pPr>
      <w:r>
        <w:rPr>
          <w:rFonts w:ascii="Arial" w:cs="Arial" w:eastAsia="Arial" w:hAnsi="Arial"/>
          <w:sz w:val="24"/>
          <w:szCs w:val="24"/>
        </w:rPr>
        <w:t xml:space="preserve">В отчете Международного Совета по зерну (IGC) прогноз мирового производства зерна в сезоне 2017-2018 годов уменьшен – на 6 млн тонн, с 2 100 до 2 094 млн тонн, это меньше рекорда сезона 2016-2017 годов (производство зерна составляло 2 140 млн тонн). Показатели прогноза мирового баланса по пшенице для текущего сезона положительные по производству – рост с 749 до 757 млн тонн.</w:t>
      </w:r>
    </w:p>
    <w:p>
      <w:pPr>
        <w:spacing w:after="120"/>
        <w:jc w:val="both"/>
      </w:pPr>
      <w:r>
        <w:rPr>
          <w:rFonts w:ascii="Arial" w:cs="Arial" w:eastAsia="Arial" w:hAnsi="Arial"/>
          <w:sz w:val="24"/>
          <w:szCs w:val="24"/>
        </w:rPr>
        <w:t xml:space="preserve">По данным Международного Совета по зерну (IGC), в сезоне 2017-2018 годов, для Российской Федерации изменены многие показатели баланса зерна и отдельно пшеницы. При начальных запасах в 13,1 млн тонн увеличен прогноз производства со 127,1 до 127,5 млн тонн, импорт не изменился – 0,5 млн тонн, общий годовой объем зерна повышен со 140,7 до 141 млн тонн, а экспорт вырос с 44,1 до 46,4 млн тонн. Прогноз производства пшеницы вырос с 83 до 84,9 млн тонн, импорт сохранился на уровне 0,3 млн тонн. Общий годовой баланс пшеницы возрос с 95,7 до 95,8 млн тонн, а экспорт – с 34 до 3,3 млн тонн. Для Республики Казахстан прогноз экспорта зерна из Казахстана снижен с 8,2 до 8,1 млн тонн вместе с зерном, переработанным в муку. Производство составит 19,3 млн тонн, импорт – 0,1 млн тонн, а общий зерновой баланс – 21,7 млн тонн. Общее потребление на продовольственные, фуражные и технические цели – 10,7 млн тонн, конечные запасы – 4,1 млн тонн. Производство пшеницы будет на уровне 14,8 млн тонн, импорт – 0,1 млн тонн, экспорт – 7,3 млн тонн.</w:t>
      </w:r>
    </w:p>
    <w:p>
      <w:pPr>
        <w:spacing w:after="120"/>
        <w:jc w:val="both"/>
      </w:pPr>
      <w:r>
        <w:rPr>
          <w:rFonts w:ascii="Arial" w:cs="Arial" w:eastAsia="Arial" w:hAnsi="Arial"/>
          <w:sz w:val="24"/>
          <w:szCs w:val="24"/>
        </w:rPr>
        <w:t xml:space="preserve">В региональном разрезе основная доля производства ВВП в 2018 году будет обеспечиваться за счет функционирования экономик гор. Бишкек, Чуйской и Джалал-Абадской областей, с удельным весом 66,4 %, суммарный вклад которых в рост ВВП республики составит 2,37 процентного пункта. Значительная доля в общем объеме производства ВВП Джалал-Абадской (11,9 %) и Иссык-Кульской (11,7 %) областей связана с тем, что на территории Джалал-Абадской области производится около 90 %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21,9 % – Ошской, Баткенской, Нарынской, Таласской и городом Ош.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Вклады регионов в производство ВВП</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1"/>
        <w:gridCol w:w="1525"/>
        <w:gridCol w:w="1068"/>
        <w:gridCol w:w="1370"/>
        <w:gridCol w:w="1068"/>
        <w:gridCol w:w="1219"/>
        <w:gridCol w:w="1067"/>
      </w:tblGrid>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18196,4</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19343,6</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61370,1</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66334,3</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64041,8</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65470,0</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14113,8</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15105,3</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35617,2</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38348,8</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16616,5</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18192,7</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84411,7</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91026,5</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198089,2</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213367,6</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28501,9</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31227,0</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ожидается в размере 92,1 тыс. сомов и увеличится на 5,0 %;</w:t>
      </w:r>
    </w:p>
    <w:p>
      <w:pPr>
        <w:spacing w:after="120"/>
        <w:jc w:val="both"/>
      </w:pPr>
      <w:r>
        <w:rPr>
          <w:rFonts w:ascii="Arial" w:cs="Arial" w:eastAsia="Arial" w:hAnsi="Arial"/>
          <w:sz w:val="24"/>
          <w:szCs w:val="24"/>
        </w:rPr>
        <w:t xml:space="preserve">ожидается номинальный рост денежных доходов на 5,7 %, а с учетом ожидаемого роста потребительских цен – на 3,1 %;</w:t>
      </w:r>
    </w:p>
    <w:p>
      <w:pPr>
        <w:spacing w:after="120"/>
        <w:jc w:val="both"/>
      </w:pPr>
      <w:r>
        <w:rPr>
          <w:rFonts w:ascii="Arial" w:cs="Arial" w:eastAsia="Arial" w:hAnsi="Arial"/>
          <w:sz w:val="24"/>
          <w:szCs w:val="24"/>
        </w:rPr>
        <w:t xml:space="preserve">в структуре денежных доходов ожидается рост среднемесячной заработной платы, которая номинально вырастет на 5,0 %, а ее реальный размер с учетом роста потребительских цен – на 2,4 %;</w:t>
      </w:r>
    </w:p>
    <w:p>
      <w:pPr>
        <w:spacing w:after="120"/>
        <w:jc w:val="both"/>
      </w:pPr>
      <w:r>
        <w:rPr>
          <w:rFonts w:ascii="Arial" w:cs="Arial" w:eastAsia="Arial" w:hAnsi="Arial"/>
          <w:sz w:val="24"/>
          <w:szCs w:val="24"/>
        </w:rPr>
        <w:t xml:space="preserve">размер прожиточного минимума ожидается на уровне 5023,3 сома. Коэффициент отношения среднемесячной заработной платы к прожиточному минимуму на взрослое население трудоспособного возраста сложится на уровне 2,88;</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развития предпринимательской деятельности, занятости населения, направленных на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Данные меры будут способствовать снижению уровня безработицы до 7,0 % в 2018 году, снизившись на 0,1 процентного пункта по сравнению с 2017 годом.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Макроэкономический прогноз на 2019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Макроэкономическая политика </w:t>
      </w:r>
    </w:p>
    <w:p>
      <w:pPr>
        <w:spacing w:after="120"/>
        <w:jc w:val="both"/>
      </w:pPr>
      <w:r>
        <w:rPr>
          <w:rFonts w:ascii="Arial" w:cs="Arial" w:eastAsia="Arial" w:hAnsi="Arial"/>
          <w:sz w:val="24"/>
          <w:szCs w:val="24"/>
        </w:rPr>
        <w:t xml:space="preserve">Главной целью макроэкономической политики на 2019 год является обеспечение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В 2019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 в условиях функционирования Кыргызской Республики в ЕАЭС, поступательного развития мировой экономики, закрепления траектории экономического роста в странах – основных торговых партнерах и государствах-членах ЕАЭС и продолжения восстановления спроса.</w:t>
      </w:r>
    </w:p>
    <w:p>
      <w:pPr>
        <w:spacing w:after="120"/>
        <w:jc w:val="both"/>
      </w:pPr>
      <w:r>
        <w:rPr>
          <w:rFonts w:ascii="Arial" w:cs="Arial" w:eastAsia="Arial" w:hAnsi="Arial"/>
          <w:sz w:val="24"/>
          <w:szCs w:val="24"/>
        </w:rPr>
        <w:t xml:space="preserve">Приоритетной задачей Правительства будет оставаться эффективная реализация Программы развития Кыргызской Республики на период 2018-2022 годов «Единство. Доверие. Созидание» и мер, заложенных в ней, направленных на укрепление экономики, развитие производства и улучшение жизни народа.</w:t>
      </w:r>
    </w:p>
    <w:p>
      <w:pPr>
        <w:spacing w:after="120"/>
        <w:jc w:val="both"/>
      </w:pPr>
      <w:r>
        <w:rPr>
          <w:rFonts w:ascii="Arial" w:cs="Arial" w:eastAsia="Arial" w:hAnsi="Arial"/>
          <w:sz w:val="24"/>
          <w:szCs w:val="24"/>
        </w:rPr>
        <w:t xml:space="preserve">Влияющие факторы на развитие экономики в 2019 году:</w:t>
      </w:r>
    </w:p>
    <w:p>
      <w:pPr>
        <w:spacing w:after="120"/>
        <w:jc w:val="both"/>
      </w:pPr>
      <w:r>
        <w:rPr>
          <w:rFonts w:ascii="Arial" w:cs="Arial" w:eastAsia="Arial" w:hAnsi="Arial"/>
          <w:sz w:val="24"/>
          <w:szCs w:val="24"/>
        </w:rPr>
        <w:t xml:space="preserve">политическая стабильность в регионе и странах – основных торговых партнерах;</w:t>
      </w:r>
    </w:p>
    <w:p>
      <w:pPr>
        <w:spacing w:after="120"/>
        <w:jc w:val="both"/>
      </w:pPr>
      <w:r>
        <w:rPr>
          <w:rFonts w:ascii="Arial" w:cs="Arial" w:eastAsia="Arial" w:hAnsi="Arial"/>
          <w:sz w:val="24"/>
          <w:szCs w:val="24"/>
        </w:rPr>
        <w:t xml:space="preserve">поступательное развитие мировой экономики;</w:t>
      </w:r>
    </w:p>
    <w:p>
      <w:pPr>
        <w:spacing w:after="120"/>
        <w:jc w:val="both"/>
      </w:pPr>
      <w:r>
        <w:rPr>
          <w:rFonts w:ascii="Arial" w:cs="Arial" w:eastAsia="Arial" w:hAnsi="Arial"/>
          <w:sz w:val="24"/>
          <w:szCs w:val="24"/>
        </w:rPr>
        <w:t xml:space="preserve">прогнозируемый экономический рост мировой экономики (рост на 3,9 %), еврозоны (на 2,0 %), Китайской Народной Республики (на 6,4 %); государств-членов ЕАЭС – в Российской Федерации (на 2,2 %), Республике Беларусь (на 2,5 %), Республике Казахстан (на 2,8 %), Республике Армения (на 3,5 %)</w:t>
      </w:r>
      <w:r>
        <w:rPr>
          <w:rFonts w:ascii="Arial" w:cs="Arial" w:eastAsia="Arial" w:hAnsi="Arial"/>
          <w:sz w:val="24"/>
          <w:szCs w:val="24"/>
        </w:rPr>
        <w:t xml:space="preserve">[12]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умеренный рост инфляции (в % к декабрю предыдущего года) в странах – основных торговых партнерах Кыргызской Республики – в Российской Федерации (4,0 %), Казахстане (4,0-6,0 %), Китайской Народной Республике (2,1 %)14;</w:t>
      </w:r>
    </w:p>
    <w:p>
      <w:pPr>
        <w:spacing w:after="120"/>
        <w:jc w:val="both"/>
      </w:pPr>
      <w:r>
        <w:rPr>
          <w:rFonts w:ascii="Arial" w:cs="Arial" w:eastAsia="Arial" w:hAnsi="Arial"/>
          <w:sz w:val="24"/>
          <w:szCs w:val="24"/>
        </w:rPr>
        <w:t xml:space="preserve">риск продолжения неблагоприятной геополитической ситуации и напряженности в регионе и как следствие замедление роста мировой экономики (усиление санкций в отношении основного стратегического партнера – Российской Федерации, торговые войны, усиление оттока капитала из России в 2018-2019 годы, связанного с противостоянием России и западного мира, увеличением объемов покупки иностранных облигаций в резервы страны и т.д.);</w:t>
      </w:r>
    </w:p>
    <w:p>
      <w:pPr>
        <w:spacing w:after="120"/>
        <w:jc w:val="both"/>
      </w:pPr>
      <w:r>
        <w:rPr>
          <w:rFonts w:ascii="Arial" w:cs="Arial" w:eastAsia="Arial" w:hAnsi="Arial"/>
          <w:sz w:val="24"/>
          <w:szCs w:val="24"/>
        </w:rPr>
        <w:t xml:space="preserve">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120"/>
        <w:jc w:val="both"/>
      </w:pPr>
      <w:r>
        <w:rPr>
          <w:rFonts w:ascii="Arial" w:cs="Arial" w:eastAsia="Arial" w:hAnsi="Arial"/>
          <w:sz w:val="24"/>
          <w:szCs w:val="24"/>
        </w:rPr>
        <w:t xml:space="preserve">сохранение восходящей динамики роста цен на нефть на фоне продления соглашения ОПЭК+ по сокращению добычи нефти и возможная разработка долгосрочного пакта, который может на многие годы продлить контроль над мировыми поставками нефти крупными экспортерами;</w:t>
      </w:r>
    </w:p>
    <w:p>
      <w:pPr>
        <w:spacing w:after="120"/>
        <w:jc w:val="both"/>
      </w:pPr>
      <w:r>
        <w:rPr>
          <w:rFonts w:ascii="Arial" w:cs="Arial" w:eastAsia="Arial" w:hAnsi="Arial"/>
          <w:sz w:val="24"/>
          <w:szCs w:val="24"/>
        </w:rPr>
        <w:t xml:space="preserve">реализация крупных инвестиционных проектов;</w:t>
      </w:r>
    </w:p>
    <w:p>
      <w:pPr>
        <w:spacing w:after="120"/>
        <w:jc w:val="both"/>
      </w:pPr>
      <w:r>
        <w:rPr>
          <w:rFonts w:ascii="Arial" w:cs="Arial" w:eastAsia="Arial" w:hAnsi="Arial"/>
          <w:sz w:val="24"/>
          <w:szCs w:val="24"/>
        </w:rPr>
        <w:t xml:space="preserve">умеренный рост чистого притока денежных переводов физических лиц, осуществленных через системы переводов;</w:t>
      </w:r>
    </w:p>
    <w:p>
      <w:pPr>
        <w:spacing w:after="120"/>
        <w:jc w:val="both"/>
      </w:pPr>
      <w:r>
        <w:rPr>
          <w:rFonts w:ascii="Arial" w:cs="Arial" w:eastAsia="Arial" w:hAnsi="Arial"/>
          <w:sz w:val="24"/>
          <w:szCs w:val="24"/>
        </w:rPr>
        <w:t xml:space="preserve">увеличение потребительского спроса;</w:t>
      </w:r>
    </w:p>
    <w:p>
      <w:pPr>
        <w:spacing w:after="120"/>
        <w:jc w:val="both"/>
      </w:pPr>
      <w:r>
        <w:rPr>
          <w:rFonts w:ascii="Arial" w:cs="Arial" w:eastAsia="Arial" w:hAnsi="Arial"/>
          <w:sz w:val="24"/>
          <w:szCs w:val="24"/>
        </w:rPr>
        <w:t xml:space="preserve">зависимость экономики страны от волатильности мировых цен на золото, энергоносители и другие сырьевые ресурсы;</w:t>
      </w:r>
    </w:p>
    <w:p>
      <w:pPr>
        <w:spacing w:after="120"/>
        <w:jc w:val="both"/>
      </w:pPr>
      <w:r>
        <w:rPr>
          <w:rFonts w:ascii="Arial" w:cs="Arial" w:eastAsia="Arial" w:hAnsi="Arial"/>
          <w:sz w:val="24"/>
          <w:szCs w:val="24"/>
        </w:rPr>
        <w:t xml:space="preserve">создание доступа к финансовым инструментам (активизация работы Российско-Кыргызского Фонда развития, Государственной ипотечной компании, Гарантийного фонда, Программы «Финансирование сельского хозяйства» и др.);</w:t>
      </w:r>
    </w:p>
    <w:p>
      <w:pPr>
        <w:spacing w:after="120"/>
        <w:jc w:val="both"/>
      </w:pPr>
      <w:r>
        <w:rPr>
          <w:rFonts w:ascii="Arial" w:cs="Arial" w:eastAsia="Arial" w:hAnsi="Arial"/>
          <w:sz w:val="24"/>
          <w:szCs w:val="24"/>
        </w:rPr>
        <w:t xml:space="preserve">ужесточение денежно-кредитных политик Федеральной резервной системы (возможное трехкратное повышение ставки ФРС);</w:t>
      </w:r>
    </w:p>
    <w:p>
      <w:pPr>
        <w:spacing w:after="120"/>
        <w:jc w:val="both"/>
      </w:pPr>
      <w:r>
        <w:rPr>
          <w:rFonts w:ascii="Arial" w:cs="Arial" w:eastAsia="Arial" w:hAnsi="Arial"/>
          <w:sz w:val="24"/>
          <w:szCs w:val="24"/>
        </w:rPr>
        <w:t xml:space="preserve">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открытость экономики, в значительной степени подверженной влиянию внешних шоков;</w:t>
      </w:r>
    </w:p>
    <w:p>
      <w:pPr>
        <w:spacing w:after="120"/>
        <w:jc w:val="both"/>
      </w:pPr>
      <w:r>
        <w:rPr>
          <w:rFonts w:ascii="Arial" w:cs="Arial" w:eastAsia="Arial" w:hAnsi="Arial"/>
          <w:sz w:val="24"/>
          <w:szCs w:val="24"/>
        </w:rPr>
        <w:t xml:space="preserve">сокращение спроса на отечественную продукцию ввиду колебаний на финансовом и валютном рынках;</w:t>
      </w:r>
    </w:p>
    <w:p>
      <w:pPr>
        <w:spacing w:after="120"/>
        <w:jc w:val="both"/>
      </w:pPr>
      <w:r>
        <w:rPr>
          <w:rFonts w:ascii="Arial" w:cs="Arial" w:eastAsia="Arial" w:hAnsi="Arial"/>
          <w:sz w:val="24"/>
          <w:szCs w:val="24"/>
        </w:rPr>
        <w:t xml:space="preserve">высокий уровень теневой экономики (24,5 %);</w:t>
      </w:r>
    </w:p>
    <w:p>
      <w:pPr>
        <w:spacing w:after="120"/>
        <w:jc w:val="both"/>
      </w:pPr>
      <w:r>
        <w:rPr>
          <w:rFonts w:ascii="Arial" w:cs="Arial" w:eastAsia="Arial" w:hAnsi="Arial"/>
          <w:sz w:val="24"/>
          <w:szCs w:val="24"/>
        </w:rPr>
        <w:t xml:space="preserve">природно-климатический фактор, который может оказать негативное воздействие на развитие агропромышленного комплекса и энергетики.</w:t>
      </w:r>
    </w:p>
    <w:p>
      <w:pPr>
        <w:spacing w:after="120"/>
        <w:jc w:val="both"/>
      </w:pPr>
      <w:r>
        <w:rPr>
          <w:rFonts w:ascii="Arial" w:cs="Arial" w:eastAsia="Arial" w:hAnsi="Arial"/>
          <w:sz w:val="24"/>
          <w:szCs w:val="24"/>
        </w:rPr>
        <w:t xml:space="preserve">Оценка прогнозных значений макроэкономических показателей на 2019 год основана на полной, успешной и своевременной реализации мер и инвестиционных проектов, заложенных в Программе развития Кыргызской Республики на период 2018-2022 годов «Единство. Доверие. Созидание» и их эффективном влиянии на экономику страны, а также выявлении дополнительных резервов в отраслях экономики, с учетом заявленных ориентиров на среднесрочную перспективу.</w:t>
      </w:r>
    </w:p>
    <w:p>
      <w:pPr>
        <w:spacing w:after="120"/>
        <w:jc w:val="both"/>
      </w:pPr>
      <w:r>
        <w:rPr>
          <w:rFonts w:ascii="Arial" w:cs="Arial" w:eastAsia="Arial" w:hAnsi="Arial"/>
          <w:sz w:val="24"/>
          <w:szCs w:val="24"/>
        </w:rPr>
        <w:t xml:space="preserve">На основе учета вышеуказанных предпосылок и предположений, экономический рост в 2019 году ожидается на уровне 4,0 % с номинальным объемом в 604,7 млрд сомов, без учета предприятий по разработке месторождения «Кумтор» – на уровне 4,8 %.</w:t>
      </w:r>
    </w:p>
    <w:p>
      <w:pPr>
        <w:spacing w:after="120"/>
        <w:jc w:val="both"/>
      </w:pPr>
      <w:r>
        <w:rPr>
          <w:rFonts w:ascii="Arial" w:cs="Arial" w:eastAsia="Arial" w:hAnsi="Arial"/>
          <w:sz w:val="24"/>
          <w:szCs w:val="24"/>
        </w:rPr>
        <w:t xml:space="preserve">Экономический рост, прогнозируемый на уровне 4,0 %, будет поддерживаться со стороны всех отраслей реальной экономики, формирующих ВВП страны. При этом наибольший вклад будет обеспечен со стороны отраслей, оказывающих услуги, – 1,74 процентного пункта, а вклады других отраслей будут умеренными: строительства – 0,97 процентного пункта, сельского хозяйства – 0,34 процентного пункта, промышленности – 0,41 процентного пункта.</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2019 год прогнозируются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6"/>
        <w:gridCol w:w="1212"/>
        <w:gridCol w:w="832"/>
        <w:gridCol w:w="760"/>
        <w:gridCol w:w="922"/>
        <w:gridCol w:w="1202"/>
        <w:gridCol w:w="968"/>
        <w:gridCol w:w="913"/>
        <w:gridCol w:w="1033"/>
      </w:tblGrid>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604707,2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100034,7</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106504,6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68134,4</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71897,6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46469</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52429,8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269810</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293834,0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73967,6</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80041,1</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региональном разрезе основная доля производства ВВП в 2019 году будет обеспечиваться за счет функционирования экономики города Бишкек, Чуйской, Джалал-Абадской областей, с удельным весом 66,84 %, суммарный вклад которых в ВВП республики составит 3,18 %.</w:t>
      </w:r>
    </w:p>
    <w:p>
      <w:pPr>
        <w:spacing w:after="120"/>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22,1 % между Ошской, Баткенской, Нарынской и Таласской областями и городом Ош.</w:t>
      </w:r>
    </w:p>
    <w:p>
      <w:pPr>
        <w:spacing w:after="120"/>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6"/>
        <w:gridCol w:w="1390"/>
        <w:gridCol w:w="1271"/>
        <w:gridCol w:w="1339"/>
        <w:gridCol w:w="1271"/>
        <w:gridCol w:w="984"/>
        <w:gridCol w:w="1036"/>
      </w:tblGrid>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604707,2</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19343,6</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20610,3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3,41</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66334,3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71675,3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11,85</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0,51</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65470,0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66932,8</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11,07</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15105,3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16427,6</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0,14</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38348,8</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41390,9</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6,84</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18192,7</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19982,5</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0,16</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91026,5</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100367,9</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16,60</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213367,6</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232978,7</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38,53</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31227,0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34341,3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5,68</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индекса потребительских цен будет определяться разнонаправленными факторами. Среднегодовой уровень инфляции в 2019 году ожидается на уровне 103,9 % (январь-декабрь 2019 года к январю-декабрю 2018 года). Основными факторами, влияющими на уровень инфляции, могут быть:</w:t>
      </w:r>
    </w:p>
    <w:p>
      <w:pPr>
        <w:spacing w:after="120"/>
        <w:jc w:val="both"/>
      </w:pPr>
      <w:r>
        <w:rPr>
          <w:rFonts w:ascii="Arial" w:cs="Arial" w:eastAsia="Arial" w:hAnsi="Arial"/>
          <w:sz w:val="24"/>
          <w:szCs w:val="24"/>
        </w:rPr>
        <w:t xml:space="preserve">- сохранение благоприятной ценовой конъюнктуры на мировых рынках продовольствия и сырья;</w:t>
      </w:r>
    </w:p>
    <w:p>
      <w:pPr>
        <w:spacing w:after="120"/>
        <w:jc w:val="both"/>
      </w:pPr>
      <w:r>
        <w:rPr>
          <w:rFonts w:ascii="Arial" w:cs="Arial" w:eastAsia="Arial" w:hAnsi="Arial"/>
          <w:sz w:val="24"/>
          <w:szCs w:val="24"/>
        </w:rPr>
        <w:t xml:space="preserve">- предполагаемое/планируемое повышение тарифов в 2019-2021 годах на электрическую и тепловую энергию, что увеличит стоимость услуг жилищно-коммунального хозяйства;</w:t>
      </w:r>
    </w:p>
    <w:p>
      <w:pPr>
        <w:spacing w:after="120"/>
        <w:jc w:val="both"/>
      </w:pPr>
      <w:r>
        <w:rPr>
          <w:rFonts w:ascii="Arial" w:cs="Arial" w:eastAsia="Arial" w:hAnsi="Arial"/>
          <w:sz w:val="24"/>
          <w:szCs w:val="24"/>
        </w:rPr>
        <w:t xml:space="preserve">- повышение процентной ставки ФРС США (трехкратное увеличение), что может повлечь удорожание импортных товаров;</w:t>
      </w:r>
    </w:p>
    <w:p>
      <w:pPr>
        <w:spacing w:after="120"/>
        <w:jc w:val="both"/>
      </w:pPr>
      <w:r>
        <w:rPr>
          <w:rFonts w:ascii="Arial" w:cs="Arial" w:eastAsia="Arial" w:hAnsi="Arial"/>
          <w:sz w:val="24"/>
          <w:szCs w:val="24"/>
        </w:rPr>
        <w:t xml:space="preserve">- действие постановления Правительства Кыргызской Республики «Об установлении минимальных розничных цен на сигареты с фильтром и сигареты без фильтра» от 13 декабря 2016 года № 668, которым установлена минимальная розничная цена на сигареты с фильтром и сигареты без фильтра (с 1 января 2019 года по 31 декабря 2019 года включительно – 60 сомов), что приведет к росту цен на табачные изделия;</w:t>
      </w:r>
    </w:p>
    <w:p>
      <w:pPr>
        <w:spacing w:after="120"/>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120"/>
        <w:jc w:val="both"/>
      </w:pPr>
      <w:r>
        <w:rPr>
          <w:rFonts w:ascii="Arial" w:cs="Arial" w:eastAsia="Arial" w:hAnsi="Arial"/>
          <w:sz w:val="24"/>
          <w:szCs w:val="24"/>
        </w:rPr>
        <w:t xml:space="preserve">- увеличение внутреннего спроса, главным образом, за счет умеренного роста денежных переводов;</w:t>
      </w:r>
    </w:p>
    <w:p>
      <w:pPr>
        <w:spacing w:after="120"/>
        <w:jc w:val="both"/>
      </w:pPr>
      <w:r>
        <w:rPr>
          <w:rFonts w:ascii="Arial" w:cs="Arial" w:eastAsia="Arial" w:hAnsi="Arial"/>
          <w:sz w:val="24"/>
          <w:szCs w:val="24"/>
        </w:rPr>
        <w:t xml:space="preserve">- ежемесячный пересчет тарифов на реализацию природного газа для всех категорий потребителей в связи с волатильностью курса национальной валюты по отношению к доллару США;</w:t>
      </w:r>
    </w:p>
    <w:p>
      <w:pPr>
        <w:spacing w:after="120"/>
        <w:jc w:val="both"/>
      </w:pPr>
      <w:r>
        <w:rPr>
          <w:rFonts w:ascii="Arial" w:cs="Arial" w:eastAsia="Arial" w:hAnsi="Arial"/>
          <w:sz w:val="24"/>
          <w:szCs w:val="24"/>
        </w:rPr>
        <w:t xml:space="preserve">- риск продолжения роста цен на ГСМ;</w:t>
      </w:r>
    </w:p>
    <w:p>
      <w:pPr>
        <w:spacing w:after="120"/>
        <w:jc w:val="both"/>
      </w:pPr>
      <w:r>
        <w:rPr>
          <w:rFonts w:ascii="Arial" w:cs="Arial" w:eastAsia="Arial" w:hAnsi="Arial"/>
          <w:sz w:val="24"/>
          <w:szCs w:val="24"/>
        </w:rPr>
        <w:t xml:space="preserve">- волатильность обменного курса.</w:t>
      </w:r>
    </w:p>
    <w:p>
      <w:pPr>
        <w:spacing w:after="240" w:before="200"/>
        <w:jc w:val="center"/>
      </w:pPr>
      <w:r>
        <w:rPr>
          <w:rFonts w:ascii="Arial" w:cs="Arial" w:eastAsia="Arial" w:hAnsi="Arial"/>
          <w:b/>
          <w:bCs/>
          <w:sz w:val="32"/>
          <w:szCs w:val="32"/>
        </w:rPr>
        <w:t xml:space="preserve">6.2 Денежно-кредитная политика</w:t>
      </w:r>
    </w:p>
    <w:p>
      <w:pPr>
        <w:spacing w:after="120"/>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120"/>
        <w:jc w:val="both"/>
      </w:pPr>
      <w:r>
        <w:rPr>
          <w:rFonts w:ascii="Arial" w:cs="Arial" w:eastAsia="Arial" w:hAnsi="Arial"/>
          <w:sz w:val="24"/>
          <w:szCs w:val="24"/>
        </w:rPr>
        <w:t xml:space="preserve">Денежно-кредитная политика будет нацелена на обеспечение ценовой стабильности в стране в пределах 5-7 % в среднесрочном периоде. При принятии тактических решений по инструментам денежно-кредитной политики будут учитываться ситуация в экономике и тенденции на внешних и внутренних рынках. Основной задачей будет постепенный переход к режиму таргетирования инфляции в среднесрочной перспективе.</w:t>
      </w:r>
    </w:p>
    <w:p>
      <w:pPr>
        <w:spacing w:after="120"/>
        <w:jc w:val="both"/>
      </w:pPr>
      <w:r>
        <w:rPr>
          <w:rFonts w:ascii="Arial" w:cs="Arial" w:eastAsia="Arial" w:hAnsi="Arial"/>
          <w:sz w:val="24"/>
          <w:szCs w:val="24"/>
        </w:rPr>
        <w:t xml:space="preserve">Денежно-кредитная политика будет направлена на реализацию целей и задач Программы развития Кыргызской Республики на период 2018-2022 годов «Единство. Доверие. Созидание». При этом разработка денежно-кредитной политики будет ориентирована на перспективу ввиду наличия временны́х интервалов (лагов) в ее воздействии на ключевые макроэкономические показатели страны.</w:t>
      </w:r>
    </w:p>
    <w:p>
      <w:pPr>
        <w:spacing w:after="120"/>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будут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120"/>
        <w:jc w:val="both"/>
      </w:pPr>
      <w:r>
        <w:rPr>
          <w:rFonts w:ascii="Arial" w:cs="Arial" w:eastAsia="Arial" w:hAnsi="Arial"/>
          <w:sz w:val="24"/>
          <w:szCs w:val="24"/>
        </w:rPr>
        <w:t xml:space="preserve">Будут сосредоточены усилия на совершенствовании трансмиссионного механизма денежно-кредитной политики как необходимого условия перехода к режиму таргетирования инфляции. Будет продолжена работа над повышением эффективности и гибкости инструментов денежно-кредитной политики.</w:t>
      </w:r>
    </w:p>
    <w:p>
      <w:pPr>
        <w:spacing w:after="120"/>
        <w:jc w:val="both"/>
      </w:pPr>
      <w:r>
        <w:rPr>
          <w:rFonts w:ascii="Arial" w:cs="Arial" w:eastAsia="Arial" w:hAnsi="Arial"/>
          <w:sz w:val="24"/>
          <w:szCs w:val="24"/>
        </w:rPr>
        <w:t xml:space="preserve">Учетная ставка Национального банка как основной инструмент денежно-кредитной политики будет являться ориентиром стоимости средств на денежном рынке и определяться правлением Национального банка на регулярной основе.</w:t>
      </w:r>
    </w:p>
    <w:p>
      <w:pPr>
        <w:spacing w:after="120"/>
        <w:jc w:val="both"/>
      </w:pPr>
      <w:r>
        <w:rPr>
          <w:rFonts w:ascii="Arial" w:cs="Arial" w:eastAsia="Arial" w:hAnsi="Arial"/>
          <w:sz w:val="24"/>
          <w:szCs w:val="24"/>
        </w:rPr>
        <w:t xml:space="preserve">Операционным ориентиром денежно-кредитной политики будут являться краткосрочные процентные ставки денежного рынка. Национальный банк будет определять значения процентных ставок коридора вокруг учетной ставки. В качестве нижней границы коридора процентных ставок будет выступать ставка по денежно-кредитному инструменту Национального банка «депозит «овернайт»», в качестве верхней границы – ставка по денежно-кредитному инструменту Национального банка «кредит «овернайт»». Ширина процентного коридора будет устанавливаться таким образом, чтобы она способствовала активности на межбанковском рынке.</w:t>
      </w:r>
    </w:p>
    <w:p>
      <w:pPr>
        <w:spacing w:after="120"/>
        <w:jc w:val="both"/>
      </w:pPr>
      <w:r>
        <w:rPr>
          <w:rFonts w:ascii="Arial" w:cs="Arial" w:eastAsia="Arial" w:hAnsi="Arial"/>
          <w:sz w:val="24"/>
          <w:szCs w:val="24"/>
        </w:rPr>
        <w:t xml:space="preserve">При реализации денежно-кредитной политики будет использоваться весь спектр инструментов денежно-кредитной политики, и при необходимости, будут модифицироваться уже существующие инструменты и внедряться новые инструменты.</w:t>
      </w:r>
    </w:p>
    <w:p>
      <w:pPr>
        <w:spacing w:after="120"/>
        <w:jc w:val="both"/>
      </w:pPr>
      <w:r>
        <w:rPr>
          <w:rFonts w:ascii="Arial" w:cs="Arial" w:eastAsia="Arial" w:hAnsi="Arial"/>
          <w:sz w:val="24"/>
          <w:szCs w:val="24"/>
        </w:rPr>
        <w:t xml:space="preserve">Разработка денежно-кредитной политики будет проводиться на основе системы макроэкономического прогнозирования и анализа экономической политики, а также иных систем, позволяющих использовать современные методы анализа и построения прогнозов. Продолжится дальнейшая работа над повышением качества аналитической основы и процедуры принятия решений по денежно-кредитной политике посредством расширения и углубления статистического и модельного аппарата, внедрения в практику результатов экономических исследований с учетом особенностей экономики страны.</w:t>
      </w:r>
    </w:p>
    <w:p>
      <w:pPr>
        <w:spacing w:after="120"/>
        <w:jc w:val="both"/>
      </w:pPr>
      <w:r>
        <w:rPr>
          <w:rFonts w:ascii="Arial" w:cs="Arial" w:eastAsia="Arial" w:hAnsi="Arial"/>
          <w:sz w:val="24"/>
          <w:szCs w:val="24"/>
        </w:rPr>
        <w:t xml:space="preserve">Будет продолжена политика принятого режима плавающего обменного курса. Валютные интервенции будут осуществляться только в целях смягчения резких колебаний обменного курса.</w:t>
      </w:r>
    </w:p>
    <w:p>
      <w:pPr>
        <w:spacing w:after="120"/>
        <w:jc w:val="both"/>
      </w:pPr>
      <w:r>
        <w:rPr>
          <w:rFonts w:ascii="Arial" w:cs="Arial" w:eastAsia="Arial" w:hAnsi="Arial"/>
          <w:sz w:val="24"/>
          <w:szCs w:val="24"/>
        </w:rPr>
        <w:t xml:space="preserve">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накопления золотовалютных резервов Национальный банк будет осуществлять покупку золота за национальную валюту на внутреннем рынке.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Налоговая политика</w:t>
      </w:r>
    </w:p>
    <w:p>
      <w:pPr>
        <w:spacing w:after="120"/>
        <w:jc w:val="both"/>
      </w:pPr>
      <w:r>
        <w:rPr>
          <w:rFonts w:ascii="Arial" w:cs="Arial" w:eastAsia="Arial" w:hAnsi="Arial"/>
          <w:sz w:val="24"/>
          <w:szCs w:val="24"/>
        </w:rPr>
        <w:t xml:space="preserve">Концептуальные основы налоговой политики Кыргызской Республики будут формироваться и проводиться в рамках Концепции фискальной политики Кыргызской Республики на 2015-2020 годы (</w:t>
      </w:r>
      <w:hyperlink w:history="1" r:id="rIdxgik5idnc__bwkmn10b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июля 2015 года № 455), а также в рамках Программы развития Кыргызской Республики на период 2018-2022 годов «Единство. Доверие. Созидание».</w:t>
      </w:r>
    </w:p>
    <w:p>
      <w:pPr>
        <w:spacing w:after="120"/>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w:t>
      </w:r>
    </w:p>
    <w:p>
      <w:pPr>
        <w:spacing w:after="120"/>
        <w:jc w:val="both"/>
      </w:pPr>
      <w:r>
        <w:rPr>
          <w:rFonts w:ascii="Arial" w:cs="Arial" w:eastAsia="Arial" w:hAnsi="Arial"/>
          <w:sz w:val="24"/>
          <w:szCs w:val="24"/>
        </w:rPr>
        <w:t xml:space="preserve">Целью фискальной политики Кыргызской Республики на среднесрочный период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 В результате проводимых действий, доля налоговых доходов к ВВП должна составить не ниже 19,9 %.</w:t>
      </w:r>
    </w:p>
    <w:p>
      <w:pPr>
        <w:spacing w:after="120"/>
        <w:jc w:val="both"/>
      </w:pPr>
      <w:r>
        <w:rPr>
          <w:rFonts w:ascii="Arial" w:cs="Arial" w:eastAsia="Arial" w:hAnsi="Arial"/>
          <w:sz w:val="24"/>
          <w:szCs w:val="24"/>
        </w:rPr>
        <w:t xml:space="preserve">Для достижения поставленной цели основными задачами фискальной политики будут:</w:t>
      </w:r>
    </w:p>
    <w:p>
      <w:pPr>
        <w:spacing w:after="120"/>
        <w:jc w:val="both"/>
      </w:pPr>
      <w:r>
        <w:rPr>
          <w:rFonts w:ascii="Arial" w:cs="Arial" w:eastAsia="Arial" w:hAnsi="Arial"/>
          <w:sz w:val="24"/>
          <w:szCs w:val="24"/>
        </w:rPr>
        <w:t xml:space="preserve">- повышение качества государственного управления и принятие решений в области фискальной политики;</w:t>
      </w:r>
    </w:p>
    <w:p>
      <w:pPr>
        <w:spacing w:after="120"/>
        <w:jc w:val="both"/>
      </w:pPr>
      <w:r>
        <w:rPr>
          <w:rFonts w:ascii="Arial" w:cs="Arial" w:eastAsia="Arial" w:hAnsi="Arial"/>
          <w:sz w:val="24"/>
          <w:szCs w:val="24"/>
        </w:rPr>
        <w:t xml:space="preserve">-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120"/>
        <w:jc w:val="both"/>
      </w:pPr>
      <w:r>
        <w:rPr>
          <w:rFonts w:ascii="Arial" w:cs="Arial" w:eastAsia="Arial" w:hAnsi="Arial"/>
          <w:sz w:val="24"/>
          <w:szCs w:val="24"/>
        </w:rPr>
        <w:t xml:space="preserve">- развитие существующих и освоение новых инструментов администрирования, обеспечивающих повышение эффективности и успешную интеграцию с государствами-членами ЕАЭС;</w:t>
      </w:r>
    </w:p>
    <w:p>
      <w:pPr>
        <w:spacing w:after="120"/>
        <w:jc w:val="both"/>
      </w:pPr>
      <w:r>
        <w:rPr>
          <w:rFonts w:ascii="Arial" w:cs="Arial" w:eastAsia="Arial" w:hAnsi="Arial"/>
          <w:sz w:val="24"/>
          <w:szCs w:val="24"/>
        </w:rPr>
        <w:t xml:space="preserve">- внедрение новых принципов администрирования, перевод многих процедур по выдаче налоговых/фискальных документов на электронную основу, через реализацию проекта «Таза Коом»:</w:t>
      </w:r>
    </w:p>
    <w:p>
      <w:pPr>
        <w:spacing w:after="120"/>
        <w:jc w:val="both"/>
      </w:pPr>
      <w:r>
        <w:rPr>
          <w:rFonts w:ascii="Arial" w:cs="Arial" w:eastAsia="Arial" w:hAnsi="Arial"/>
          <w:sz w:val="24"/>
          <w:szCs w:val="24"/>
        </w:rPr>
        <w:t xml:space="preserve">налоговой отчетности в форме электронного документа;</w:t>
      </w:r>
    </w:p>
    <w:p>
      <w:pPr>
        <w:spacing w:after="120"/>
        <w:jc w:val="both"/>
      </w:pPr>
      <w:r>
        <w:rPr>
          <w:rFonts w:ascii="Arial" w:cs="Arial" w:eastAsia="Arial" w:hAnsi="Arial"/>
          <w:sz w:val="24"/>
          <w:szCs w:val="24"/>
        </w:rPr>
        <w:t xml:space="preserve">системы электронных счетов-фактур и системы маркировки товаров;</w:t>
      </w:r>
    </w:p>
    <w:p>
      <w:pPr>
        <w:spacing w:after="120"/>
        <w:jc w:val="both"/>
      </w:pPr>
      <w:r>
        <w:rPr>
          <w:rFonts w:ascii="Arial" w:cs="Arial" w:eastAsia="Arial" w:hAnsi="Arial"/>
          <w:sz w:val="24"/>
          <w:szCs w:val="24"/>
        </w:rPr>
        <w:t xml:space="preserve">системы учета денежных средств с использованием ККМ, являющихся программным обеспечением;</w:t>
      </w:r>
    </w:p>
    <w:p>
      <w:pPr>
        <w:spacing w:after="120"/>
        <w:jc w:val="both"/>
      </w:pPr>
      <w:r>
        <w:rPr>
          <w:rFonts w:ascii="Arial" w:cs="Arial" w:eastAsia="Arial" w:hAnsi="Arial"/>
          <w:sz w:val="24"/>
          <w:szCs w:val="24"/>
        </w:rPr>
        <w:t xml:space="preserve">электронных патентов.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6.4 Бюджетная политика</w:t>
      </w:r>
    </w:p>
    <w:p>
      <w:pPr>
        <w:spacing w:after="120"/>
        <w:jc w:val="both"/>
      </w:pPr>
      <w:r>
        <w:rPr>
          <w:rFonts w:ascii="Arial" w:cs="Arial" w:eastAsia="Arial" w:hAnsi="Arial"/>
          <w:sz w:val="24"/>
          <w:szCs w:val="24"/>
        </w:rPr>
        <w:t xml:space="preserve">Бюджетная политика будет реализовываться на основе бюджетных принципов Бюджетного кодекса Кыргызской Республики, который устанавливает основы правового регулирования отношений, возникающих в сфере управления государственными финансами, и направлен на оптимизацию бюджетного процесса и совершенствование бюджетного законодательства республики.</w:t>
      </w:r>
    </w:p>
    <w:p>
      <w:pPr>
        <w:spacing w:after="120"/>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Стратегии развития управления государственными финансами в Кыргызской Республике на 2017-2025 годы (</w:t>
      </w:r>
      <w:hyperlink w:history="1" r:id="rIduh3eubqoasyobtyq5kg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В рамках реализации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качества предоставляемых услуг.</w:t>
      </w:r>
    </w:p>
    <w:p>
      <w:pPr>
        <w:spacing w:after="120"/>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120"/>
        <w:jc w:val="both"/>
      </w:pPr>
      <w:r>
        <w:rPr>
          <w:rFonts w:ascii="Arial" w:cs="Arial" w:eastAsia="Arial" w:hAnsi="Arial"/>
          <w:sz w:val="24"/>
          <w:szCs w:val="24"/>
        </w:rPr>
        <w:t xml:space="preserve">1) улучшение планирования и исполнение государственного бюджета, включая:</w:t>
      </w:r>
    </w:p>
    <w:p>
      <w:pPr>
        <w:spacing w:after="120"/>
        <w:jc w:val="both"/>
      </w:pPr>
      <w:r>
        <w:rPr>
          <w:rFonts w:ascii="Arial" w:cs="Arial" w:eastAsia="Arial" w:hAnsi="Arial"/>
          <w:sz w:val="24"/>
          <w:szCs w:val="24"/>
        </w:rPr>
        <w:t xml:space="preserve">- повышение прозрачности, полноты и достоверности бюджета;</w:t>
      </w:r>
    </w:p>
    <w:p>
      <w:pPr>
        <w:spacing w:after="120"/>
        <w:jc w:val="both"/>
      </w:pPr>
      <w:r>
        <w:rPr>
          <w:rFonts w:ascii="Arial" w:cs="Arial" w:eastAsia="Arial" w:hAnsi="Arial"/>
          <w:sz w:val="24"/>
          <w:szCs w:val="24"/>
        </w:rPr>
        <w:t xml:space="preserve">- улучшение контроля доходов и расходов бюджета;</w:t>
      </w:r>
    </w:p>
    <w:p>
      <w:pPr>
        <w:spacing w:after="120"/>
        <w:jc w:val="both"/>
      </w:pPr>
      <w:r>
        <w:rPr>
          <w:rFonts w:ascii="Arial" w:cs="Arial" w:eastAsia="Arial" w:hAnsi="Arial"/>
          <w:sz w:val="24"/>
          <w:szCs w:val="24"/>
        </w:rPr>
        <w:t xml:space="preserve">2) своевременность учета и финансовой отчетности;</w:t>
      </w:r>
    </w:p>
    <w:p>
      <w:pPr>
        <w:spacing w:after="120"/>
        <w:jc w:val="both"/>
      </w:pPr>
      <w:r>
        <w:rPr>
          <w:rFonts w:ascii="Arial" w:cs="Arial" w:eastAsia="Arial" w:hAnsi="Arial"/>
          <w:sz w:val="24"/>
          <w:szCs w:val="24"/>
        </w:rPr>
        <w:t xml:space="preserve">3) совершенствование процедур внутреннего и внешнего аудита.</w:t>
      </w:r>
    </w:p>
    <w:p>
      <w:pPr>
        <w:spacing w:after="120"/>
        <w:jc w:val="both"/>
      </w:pPr>
      <w:r>
        <w:rPr>
          <w:rFonts w:ascii="Arial" w:cs="Arial" w:eastAsia="Arial" w:hAnsi="Arial"/>
          <w:sz w:val="24"/>
          <w:szCs w:val="24"/>
        </w:rPr>
        <w:t xml:space="preserve">Исходя из задач, основными приоритетные направлениями реализации Стратегии будут:</w:t>
      </w:r>
    </w:p>
    <w:p>
      <w:pPr>
        <w:spacing w:after="120"/>
        <w:jc w:val="both"/>
      </w:pPr>
      <w:r>
        <w:rPr>
          <w:rFonts w:ascii="Arial" w:cs="Arial" w:eastAsia="Arial" w:hAnsi="Arial"/>
          <w:sz w:val="24"/>
          <w:szCs w:val="24"/>
        </w:rPr>
        <w:t xml:space="preserve">- достижение реалистичности бюджета;</w:t>
      </w:r>
    </w:p>
    <w:p>
      <w:pPr>
        <w:spacing w:after="120"/>
        <w:jc w:val="both"/>
      </w:pPr>
      <w:r>
        <w:rPr>
          <w:rFonts w:ascii="Arial" w:cs="Arial" w:eastAsia="Arial" w:hAnsi="Arial"/>
          <w:sz w:val="24"/>
          <w:szCs w:val="24"/>
        </w:rPr>
        <w:t xml:space="preserve">- улучшение бюджетирования на программной основе;</w:t>
      </w:r>
    </w:p>
    <w:p>
      <w:pPr>
        <w:spacing w:after="120"/>
        <w:jc w:val="both"/>
      </w:pPr>
      <w:r>
        <w:rPr>
          <w:rFonts w:ascii="Arial" w:cs="Arial" w:eastAsia="Arial" w:hAnsi="Arial"/>
          <w:sz w:val="24"/>
          <w:szCs w:val="24"/>
        </w:rPr>
        <w:t xml:space="preserve">- обеспечение полноты и прозрачности бюджета;</w:t>
      </w:r>
    </w:p>
    <w:p>
      <w:pPr>
        <w:spacing w:after="120"/>
        <w:jc w:val="both"/>
      </w:pPr>
      <w:r>
        <w:rPr>
          <w:rFonts w:ascii="Arial" w:cs="Arial" w:eastAsia="Arial" w:hAnsi="Arial"/>
          <w:sz w:val="24"/>
          <w:szCs w:val="24"/>
        </w:rPr>
        <w:t xml:space="preserve">- улучшение контроля доходов и расходов при исполнении бюджета;</w:t>
      </w:r>
    </w:p>
    <w:p>
      <w:pPr>
        <w:spacing w:after="120"/>
        <w:jc w:val="both"/>
      </w:pPr>
      <w:r>
        <w:rPr>
          <w:rFonts w:ascii="Arial" w:cs="Arial" w:eastAsia="Arial" w:hAnsi="Arial"/>
          <w:sz w:val="24"/>
          <w:szCs w:val="24"/>
        </w:rPr>
        <w:t xml:space="preserve">- совершенствование стандартов бухгалтерского учета и отчетности;</w:t>
      </w:r>
    </w:p>
    <w:p>
      <w:pPr>
        <w:spacing w:after="120"/>
        <w:jc w:val="both"/>
      </w:pPr>
      <w:r>
        <w:rPr>
          <w:rFonts w:ascii="Arial" w:cs="Arial" w:eastAsia="Arial" w:hAnsi="Arial"/>
          <w:sz w:val="24"/>
          <w:szCs w:val="24"/>
        </w:rPr>
        <w:t xml:space="preserve">- улучшение процедур внутреннего и внешнего аудита.</w:t>
      </w:r>
    </w:p>
    <w:p>
      <w:pPr>
        <w:spacing w:after="120"/>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решение следующих задач: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6.5 Бюджет развития</w:t>
      </w:r>
    </w:p>
    <w:p>
      <w:pPr>
        <w:spacing w:after="120"/>
        <w:jc w:val="both"/>
      </w:pPr>
      <w:r>
        <w:rPr>
          <w:rFonts w:ascii="Arial" w:cs="Arial" w:eastAsia="Arial" w:hAnsi="Arial"/>
          <w:sz w:val="24"/>
          <w:szCs w:val="24"/>
        </w:rPr>
        <w:t xml:space="preserve">В 2019 году из республиканского бюджета по статье «Капитальные вложения» предусмотрено 3 млрд сомов</w:t>
      </w:r>
      <w:r>
        <w:rPr>
          <w:rFonts w:ascii="Arial" w:cs="Arial" w:eastAsia="Arial" w:hAnsi="Arial"/>
          <w:sz w:val="24"/>
          <w:szCs w:val="24"/>
        </w:rPr>
        <w:t xml:space="preserve">[13]</w:t>
      </w:r>
      <w:r>
        <w:rPr>
          <w:rFonts w:ascii="Arial" w:cs="Arial" w:eastAsia="Arial" w:hAnsi="Arial"/>
          <w:sz w:val="24"/>
          <w:szCs w:val="24"/>
        </w:rPr>
        <w:t xml:space="preserve">, которые в первую очередь будут направлены на завершение строительства объектов высокой строительной готовности, на реконструкцию объектов образования, пострадавших от стихийных бедствий, а также на аварийные объекты.</w:t>
      </w:r>
    </w:p>
    <w:p>
      <w:pPr>
        <w:spacing w:after="120"/>
        <w:jc w:val="both"/>
      </w:pPr>
      <w:r>
        <w:rPr>
          <w:rFonts w:ascii="Arial" w:cs="Arial" w:eastAsia="Arial" w:hAnsi="Arial"/>
          <w:sz w:val="24"/>
          <w:szCs w:val="24"/>
        </w:rPr>
        <w:t xml:space="preserve">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будут продолжаться финансирование строительства и развитие социальной и инженерной инфраструктуры гор. Бишкек, также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строительства водохозяйственных сооружений будет продолжено финансирование завершения строительства ирригационных каналов, что позволит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120"/>
        <w:jc w:val="both"/>
      </w:pPr>
      <w:r>
        <w:rPr>
          <w:rFonts w:ascii="Arial" w:cs="Arial" w:eastAsia="Arial" w:hAnsi="Arial"/>
          <w:sz w:val="24"/>
          <w:szCs w:val="24"/>
        </w:rPr>
        <w:t xml:space="preserve">В 2019 году важнейшими направлениями проектов государственных инвестиций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120"/>
        <w:jc w:val="both"/>
      </w:pPr>
      <w:r>
        <w:rPr>
          <w:rFonts w:ascii="Arial" w:cs="Arial" w:eastAsia="Arial" w:hAnsi="Arial"/>
          <w:sz w:val="24"/>
          <w:szCs w:val="24"/>
        </w:rPr>
        <w:t xml:space="preserve">Общая сумма бюджетного финансирования проектов государственных инвестиций из всех источников составит 46 323,7 млн сомов. При этом доля внешнего финансирования за счет займов и грантов составит 44 026,3 млн сомов (95,0 % от общей суммы финансирования), на софинансирование проектов государственных инвестиций будет использовано 2 297,3 млн сомов (5,0 %).</w:t>
      </w:r>
    </w:p>
    <w:p>
      <w:pPr>
        <w:spacing w:after="120"/>
        <w:jc w:val="both"/>
      </w:pPr>
      <w:r>
        <w:rPr>
          <w:rFonts w:ascii="Arial" w:cs="Arial" w:eastAsia="Arial" w:hAnsi="Arial"/>
          <w:sz w:val="24"/>
          <w:szCs w:val="24"/>
        </w:rPr>
        <w:t xml:space="preserve">Доминирующую роль будет играть экономический блок, на который будет приходиться 93,3 % всего финансирования (42 937,2 млн сомов), включающий такие направления, как сельское хозяйство, транспорт, энергетика и социальная инфраструктура, на развитие которых будут направлены значительные объемы государственных инвестиций.</w:t>
      </w:r>
    </w:p>
    <w:p>
      <w:pPr>
        <w:spacing w:after="120"/>
        <w:jc w:val="both"/>
      </w:pPr>
      <w:r>
        <w:rPr>
          <w:rFonts w:ascii="Arial" w:cs="Arial" w:eastAsia="Arial" w:hAnsi="Arial"/>
          <w:sz w:val="24"/>
          <w:szCs w:val="24"/>
        </w:rPr>
        <w:t xml:space="preserve">На финансирование социального сектора будет направлено 3 076,5 млн сомов или 6,7 % от общего объема финансирования.</w:t>
      </w:r>
    </w:p>
    <w:p>
      <w:pPr>
        <w:spacing w:after="120"/>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всех жителей страны устойчивым доступом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1 466,2 млн сомов.</w:t>
      </w:r>
    </w:p>
    <w:p>
      <w:pPr>
        <w:spacing w:after="120"/>
        <w:jc w:val="both"/>
      </w:pPr>
      <w:r>
        <w:rPr>
          <w:rFonts w:ascii="Arial" w:cs="Arial" w:eastAsia="Arial" w:hAnsi="Arial"/>
          <w:sz w:val="24"/>
          <w:szCs w:val="24"/>
        </w:rPr>
        <w:t xml:space="preserve">В секторе здравоохранения реализуются следующие проекты:</w:t>
      </w:r>
    </w:p>
    <w:p>
      <w:pPr>
        <w:spacing w:after="120"/>
        <w:jc w:val="both"/>
      </w:pPr>
      <w:r>
        <w:rPr>
          <w:rFonts w:ascii="Arial" w:cs="Arial" w:eastAsia="Arial" w:hAnsi="Arial"/>
          <w:sz w:val="24"/>
          <w:szCs w:val="24"/>
        </w:rPr>
        <w:t xml:space="preserve">«Борьба с туберкулезом V» (155,4 млн сомов) –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120"/>
        <w:jc w:val="both"/>
      </w:pPr>
      <w:r>
        <w:rPr>
          <w:rFonts w:ascii="Arial" w:cs="Arial" w:eastAsia="Arial" w:hAnsi="Arial"/>
          <w:sz w:val="24"/>
          <w:szCs w:val="24"/>
        </w:rPr>
        <w:t xml:space="preserve">«Создание национальной системы экстренной медицины II» (7,4 млн сомов) – средства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обучения, направленных на повышение медицинской квалификации;</w:t>
      </w:r>
    </w:p>
    <w:p>
      <w:pPr>
        <w:spacing w:after="120"/>
        <w:jc w:val="both"/>
      </w:pPr>
      <w:r>
        <w:rPr>
          <w:rFonts w:ascii="Arial" w:cs="Arial" w:eastAsia="Arial" w:hAnsi="Arial"/>
          <w:sz w:val="24"/>
          <w:szCs w:val="24"/>
        </w:rPr>
        <w:t xml:space="preserve">«Охрана материнства и детства IV-V» (159,4 млн сомов) –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120"/>
        <w:jc w:val="both"/>
      </w:pPr>
      <w:r>
        <w:rPr>
          <w:rFonts w:ascii="Arial" w:cs="Arial" w:eastAsia="Arial" w:hAnsi="Arial"/>
          <w:sz w:val="24"/>
          <w:szCs w:val="24"/>
        </w:rPr>
        <w:t xml:space="preserve">«Строительство нового корпуса для городской детской клинической больницы скорой медицинской помощи гор. Бишкек» и «Строительство и оснащение нейрохирургического центра Национального госпиталя» (1 143 млн сомов).</w:t>
      </w:r>
    </w:p>
    <w:p>
      <w:pPr>
        <w:spacing w:after="120"/>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120"/>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120"/>
        <w:jc w:val="both"/>
      </w:pPr>
      <w:r>
        <w:rPr>
          <w:rFonts w:ascii="Arial" w:cs="Arial" w:eastAsia="Arial" w:hAnsi="Arial"/>
          <w:sz w:val="24"/>
          <w:szCs w:val="24"/>
        </w:rPr>
        <w:t xml:space="preserve">Также финансирование направлено в сектор образования, общая сумма составляет 1 610,3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на улучшение уровня преподавательской деятельности и обеспеченность классов учебно-методическими материалами посредством предоставления возможности обучения, образовательных материалов, товаров и технической помощи.</w:t>
      </w:r>
    </w:p>
    <w:p>
      <w:pPr>
        <w:spacing w:after="120"/>
        <w:jc w:val="both"/>
      </w:pPr>
      <w:r>
        <w:rPr>
          <w:rFonts w:ascii="Arial" w:cs="Arial" w:eastAsia="Arial" w:hAnsi="Arial"/>
          <w:sz w:val="24"/>
          <w:szCs w:val="24"/>
        </w:rPr>
        <w:t xml:space="preserve">Результатом Второго проекта Азиатского банка развития «Профессиональное образование и развитие навыков» (45,8 млн сомов) будет инклюзивный рост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120"/>
        <w:jc w:val="both"/>
      </w:pPr>
      <w:r>
        <w:rPr>
          <w:rFonts w:ascii="Arial" w:cs="Arial" w:eastAsia="Arial" w:hAnsi="Arial"/>
          <w:sz w:val="24"/>
          <w:szCs w:val="24"/>
        </w:rPr>
        <w:t xml:space="preserve">Реализация нового проекта «Строительство государственных школ» (1 107,0 млн сомов).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позволяющим проводить учебный процесс и предоставлять детям возможность получать образование в комфортных условиях, то есть здание школы должно соответствовать общепринятым нормам оснащения, комплектации и безопасности.</w:t>
      </w:r>
    </w:p>
    <w:p>
      <w:pPr>
        <w:spacing w:after="120"/>
        <w:jc w:val="both"/>
      </w:pPr>
      <w:r>
        <w:rPr>
          <w:rFonts w:ascii="Arial" w:cs="Arial" w:eastAsia="Arial" w:hAnsi="Arial"/>
          <w:sz w:val="24"/>
          <w:szCs w:val="24"/>
        </w:rPr>
        <w:t xml:space="preserve">Сельское хозяйство будет поддержано финансированием следующих проектов: «Развитие животноводства и рынка – 2» (114,9 млн сомов – Международный фонд сельскохозяйственного развития), «Улучшение управления пастбищами и животноводством» (32,9 млн сомов – Междунаро́дная ассоциа́ция разви́тия), «Финансирование поставок сельскохозяйственной техники в Кыргызской Республике» (278,4 млн сомов – Евразийский банк развития), «Повышение производительности в сельском хозяйстве и улучшение питания» (553,5 млн сомов – Глобальный фонд по сельскохозяйственной и продовольственной безопасности), а также реализацией проектов: «Цепочка добавленной стоимости агрофинансирования» (878,2 млн сомов – Европейский инвестиционный банк, Германский банк развития), «Обеспечение доступа к рынкам» (295,2 млн сомов – Всемирный банк) и «Развитие ирригационной сети Сарымсак в </w:t>
      </w:r>
      <w:r>
        <w:rPr>
          <w:rFonts w:ascii="Arial" w:cs="Arial" w:eastAsia="Arial" w:hAnsi="Arial"/>
          <w:sz w:val="24"/>
          <w:szCs w:val="24"/>
        </w:rPr>
        <w:t xml:space="preserve">Кыргызской Республике</w:t>
      </w:r>
      <w:r>
        <w:rPr>
          <w:rFonts w:ascii="Arial" w:cs="Arial" w:eastAsia="Arial" w:hAnsi="Arial"/>
          <w:sz w:val="24"/>
          <w:szCs w:val="24"/>
        </w:rPr>
        <w:t xml:space="preserve"> (157,2 млн сомов – Исламский банк развития)».</w:t>
      </w:r>
    </w:p>
    <w:p>
      <w:pPr>
        <w:spacing w:after="120"/>
        <w:jc w:val="both"/>
      </w:pPr>
      <w:r>
        <w:rPr>
          <w:rFonts w:ascii="Arial" w:cs="Arial" w:eastAsia="Arial" w:hAnsi="Arial"/>
          <w:sz w:val="24"/>
          <w:szCs w:val="24"/>
        </w:rPr>
        <w:t xml:space="preserve">Проекты в сельском хозяйстве направлены на улучшение условий для более продуктивного, прибыльного и устойчивого развития животноводства и растениеводства, оказания ирригационных услуг и потенциала в управлении водными ресурсами в целях повышения производительности орошаемого земледелия.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6.6 Инвестиционная политика</w:t>
      </w:r>
    </w:p>
    <w:p>
      <w:pPr>
        <w:spacing w:after="120"/>
        <w:jc w:val="both"/>
      </w:pPr>
      <w:r>
        <w:rPr>
          <w:rFonts w:ascii="Arial" w:cs="Arial" w:eastAsia="Arial" w:hAnsi="Arial"/>
          <w:sz w:val="24"/>
          <w:szCs w:val="24"/>
        </w:rPr>
        <w:t xml:space="preserve">Основной целью проведения инвестиционной политики в 2019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120"/>
        <w:jc w:val="both"/>
      </w:pPr>
      <w:r>
        <w:rPr>
          <w:rFonts w:ascii="Arial" w:cs="Arial" w:eastAsia="Arial" w:hAnsi="Arial"/>
          <w:sz w:val="24"/>
          <w:szCs w:val="24"/>
        </w:rPr>
        <w:t xml:space="preserve">Основными задачами инвестиционной политики в 2019 году являются:</w:t>
      </w:r>
    </w:p>
    <w:p>
      <w:pPr>
        <w:spacing w:after="120"/>
        <w:jc w:val="both"/>
      </w:pPr>
      <w:r>
        <w:rPr>
          <w:rFonts w:ascii="Arial" w:cs="Arial" w:eastAsia="Arial" w:hAnsi="Arial"/>
          <w:sz w:val="24"/>
          <w:szCs w:val="24"/>
        </w:rPr>
        <w:t xml:space="preserve">- повышение инвестиционного потенциала и привлекательности регионов страны, с учетом имеющихся преимуществ и особенностей каждой области;</w:t>
      </w:r>
    </w:p>
    <w:p>
      <w:pPr>
        <w:spacing w:after="120"/>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120"/>
        <w:jc w:val="both"/>
      </w:pPr>
      <w:r>
        <w:rPr>
          <w:rFonts w:ascii="Arial" w:cs="Arial" w:eastAsia="Arial" w:hAnsi="Arial"/>
          <w:sz w:val="24"/>
          <w:szCs w:val="24"/>
        </w:rPr>
        <w:t xml:space="preserve">- привлечение местных инвестиций для реализации проектов;</w:t>
      </w:r>
    </w:p>
    <w:p>
      <w:pPr>
        <w:spacing w:after="120"/>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120"/>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120"/>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120"/>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120"/>
        <w:jc w:val="both"/>
      </w:pPr>
      <w:r>
        <w:rPr>
          <w:rFonts w:ascii="Arial" w:cs="Arial" w:eastAsia="Arial" w:hAnsi="Arial"/>
          <w:sz w:val="24"/>
          <w:szCs w:val="24"/>
        </w:rPr>
        <w:t xml:space="preserve">- развитие международного и межрегионального сотрудничества;</w:t>
      </w:r>
    </w:p>
    <w:p>
      <w:pPr>
        <w:spacing w:after="120"/>
        <w:jc w:val="both"/>
      </w:pPr>
      <w:r>
        <w:rPr>
          <w:rFonts w:ascii="Arial" w:cs="Arial" w:eastAsia="Arial" w:hAnsi="Arial"/>
          <w:sz w:val="24"/>
          <w:szCs w:val="24"/>
        </w:rPr>
        <w:t xml:space="preserve">- введение механизма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формирования инвестиционных лотов в стране;</w:t>
      </w:r>
    </w:p>
    <w:p>
      <w:pPr>
        <w:spacing w:after="120"/>
        <w:jc w:val="both"/>
      </w:pPr>
      <w:r>
        <w:rPr>
          <w:rFonts w:ascii="Arial" w:cs="Arial" w:eastAsia="Arial" w:hAnsi="Arial"/>
          <w:sz w:val="24"/>
          <w:szCs w:val="24"/>
        </w:rPr>
        <w:t xml:space="preserve">- создание системы эффективной и устойчивой деятельности инвестиционных фондов и финансовых институтов;</w:t>
      </w:r>
    </w:p>
    <w:p>
      <w:pPr>
        <w:spacing w:after="120"/>
        <w:jc w:val="both"/>
      </w:pPr>
      <w:r>
        <w:rPr>
          <w:rFonts w:ascii="Arial" w:cs="Arial" w:eastAsia="Arial" w:hAnsi="Arial"/>
          <w:sz w:val="24"/>
          <w:szCs w:val="24"/>
        </w:rPr>
        <w:t xml:space="preserve">- улучшение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w:t>
      </w:r>
    </w:p>
    <w:p>
      <w:pPr>
        <w:spacing w:after="120"/>
        <w:jc w:val="both"/>
      </w:pPr>
      <w:r>
        <w:rPr>
          <w:rFonts w:ascii="Arial" w:cs="Arial" w:eastAsia="Arial" w:hAnsi="Arial"/>
          <w:sz w:val="24"/>
          <w:szCs w:val="24"/>
        </w:rPr>
        <w:t xml:space="preserve">- развитие крупных национальных корпораций по управлению государственными активами и привлечению инвестиций путем их реабилитации, модернизации и реконструкции;</w:t>
      </w:r>
    </w:p>
    <w:p>
      <w:pPr>
        <w:spacing w:after="120"/>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120"/>
        <w:jc w:val="both"/>
      </w:pPr>
      <w:r>
        <w:rPr>
          <w:rFonts w:ascii="Arial" w:cs="Arial" w:eastAsia="Arial" w:hAnsi="Arial"/>
          <w:sz w:val="24"/>
          <w:szCs w:val="24"/>
        </w:rPr>
        <w:t xml:space="preserve">- проведение работы по ознакомлению бизнес-сообществ с инвестиционными возможностями страны и улучшению позиций Кыргызской Республики в международных рейтингах;</w:t>
      </w:r>
    </w:p>
    <w:p>
      <w:pPr>
        <w:spacing w:after="120"/>
        <w:jc w:val="both"/>
      </w:pPr>
      <w:r>
        <w:rPr>
          <w:rFonts w:ascii="Arial" w:cs="Arial" w:eastAsia="Arial" w:hAnsi="Arial"/>
          <w:sz w:val="24"/>
          <w:szCs w:val="24"/>
        </w:rPr>
        <w:t xml:space="preserve">- направление внешних усилий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240" w:before="200"/>
        <w:jc w:val="center"/>
      </w:pPr>
      <w:r>
        <w:rPr>
          <w:rFonts w:ascii="Arial" w:cs="Arial" w:eastAsia="Arial" w:hAnsi="Arial"/>
          <w:b/>
          <w:bCs/>
          <w:sz w:val="32"/>
          <w:szCs w:val="32"/>
        </w:rPr>
        <w:t xml:space="preserve">6.7 Инновационная политика</w:t>
      </w:r>
    </w:p>
    <w:p>
      <w:pPr>
        <w:spacing w:after="120"/>
        <w:jc w:val="both"/>
      </w:pPr>
      <w:r>
        <w:rPr>
          <w:rFonts w:ascii="Arial" w:cs="Arial" w:eastAsia="Arial" w:hAnsi="Arial"/>
          <w:sz w:val="24"/>
          <w:szCs w:val="24"/>
        </w:rPr>
        <w:t xml:space="preserve">Государственная инновационная политика будет направлена на создание благоприятного экономического климата для осуществления инновационных процессов.</w:t>
      </w:r>
    </w:p>
    <w:p>
      <w:pPr>
        <w:spacing w:after="120"/>
        <w:jc w:val="both"/>
      </w:pPr>
      <w:r>
        <w:rPr>
          <w:rFonts w:ascii="Arial" w:cs="Arial" w:eastAsia="Arial" w:hAnsi="Arial"/>
          <w:sz w:val="24"/>
          <w:szCs w:val="24"/>
        </w:rPr>
        <w:t xml:space="preserve">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120"/>
        <w:jc w:val="both"/>
      </w:pPr>
      <w:r>
        <w:rPr>
          <w:rFonts w:ascii="Arial" w:cs="Arial" w:eastAsia="Arial" w:hAnsi="Arial"/>
          <w:sz w:val="24"/>
          <w:szCs w:val="24"/>
        </w:rPr>
        <w:t xml:space="preserve">Будет реализовываться комплекс мер по:</w:t>
      </w:r>
    </w:p>
    <w:p>
      <w:pPr>
        <w:spacing w:after="120"/>
        <w:jc w:val="both"/>
      </w:pPr>
      <w:r>
        <w:rPr>
          <w:rFonts w:ascii="Arial" w:cs="Arial" w:eastAsia="Arial" w:hAnsi="Arial"/>
          <w:sz w:val="24"/>
          <w:szCs w:val="24"/>
        </w:rPr>
        <w:t xml:space="preserve">- стимулированию авторов к созданию новых результатов интеллектуальной деятельности и повышению престижа изобретателей, авторов и научных работников;</w:t>
      </w:r>
    </w:p>
    <w:p>
      <w:pPr>
        <w:spacing w:after="120"/>
        <w:jc w:val="both"/>
      </w:pPr>
      <w:r>
        <w:rPr>
          <w:rFonts w:ascii="Arial" w:cs="Arial" w:eastAsia="Arial" w:hAnsi="Arial"/>
          <w:sz w:val="24"/>
          <w:szCs w:val="24"/>
        </w:rPr>
        <w:t xml:space="preserve">- вовлечению в процесс создания объектов интеллектуальной собственности государственных, научно-исследовательских и частных предприятий;</w:t>
      </w:r>
    </w:p>
    <w:p>
      <w:pPr>
        <w:spacing w:after="120"/>
        <w:jc w:val="both"/>
      </w:pPr>
      <w:r>
        <w:rPr>
          <w:rFonts w:ascii="Arial" w:cs="Arial" w:eastAsia="Arial" w:hAnsi="Arial"/>
          <w:sz w:val="24"/>
          <w:szCs w:val="24"/>
        </w:rPr>
        <w:t xml:space="preserve">- содействию формированию государственных заказов на создание объектов интеллектуальной собственности;</w:t>
      </w:r>
    </w:p>
    <w:p>
      <w:pPr>
        <w:spacing w:after="120"/>
        <w:jc w:val="both"/>
      </w:pPr>
      <w:r>
        <w:rPr>
          <w:rFonts w:ascii="Arial" w:cs="Arial" w:eastAsia="Arial" w:hAnsi="Arial"/>
          <w:sz w:val="24"/>
          <w:szCs w:val="24"/>
        </w:rPr>
        <w:t xml:space="preserve">- активизации изобретательской и творческой деятельности в регионах;</w:t>
      </w:r>
    </w:p>
    <w:p>
      <w:pPr>
        <w:spacing w:after="120"/>
        <w:jc w:val="both"/>
      </w:pPr>
      <w:r>
        <w:rPr>
          <w:rFonts w:ascii="Arial" w:cs="Arial" w:eastAsia="Arial" w:hAnsi="Arial"/>
          <w:sz w:val="24"/>
          <w:szCs w:val="24"/>
        </w:rPr>
        <w:t xml:space="preserve">- совершенствованию процедур предоставления прав на результаты интеллектуальной деятельности;</w:t>
      </w:r>
    </w:p>
    <w:p>
      <w:pPr>
        <w:spacing w:after="120"/>
        <w:jc w:val="both"/>
      </w:pPr>
      <w:r>
        <w:rPr>
          <w:rFonts w:ascii="Arial" w:cs="Arial" w:eastAsia="Arial" w:hAnsi="Arial"/>
          <w:sz w:val="24"/>
          <w:szCs w:val="24"/>
        </w:rPr>
        <w:t xml:space="preserve">- вовлечению гражданского общества в процесс осуществления прав интеллектуальной собственности, формирование института медиации для досудебного регулирования споров;</w:t>
      </w:r>
    </w:p>
    <w:p>
      <w:pPr>
        <w:spacing w:after="120"/>
        <w:jc w:val="both"/>
      </w:pPr>
      <w:r>
        <w:rPr>
          <w:rFonts w:ascii="Arial" w:cs="Arial" w:eastAsia="Arial" w:hAnsi="Arial"/>
          <w:sz w:val="24"/>
          <w:szCs w:val="24"/>
        </w:rPr>
        <w:t xml:space="preserve">- подготовке специалистов по продвижению и управлению интеллектуальной собственностью;</w:t>
      </w:r>
    </w:p>
    <w:p>
      <w:pPr>
        <w:spacing w:after="120"/>
        <w:jc w:val="both"/>
      </w:pPr>
      <w:r>
        <w:rPr>
          <w:rFonts w:ascii="Arial" w:cs="Arial" w:eastAsia="Arial" w:hAnsi="Arial"/>
          <w:sz w:val="24"/>
          <w:szCs w:val="24"/>
        </w:rPr>
        <w:t xml:space="preserve">- созданию демонстрационно-опытных площадок для взаимодействия авторов интеллектуальной собственности и бизнес-структур.</w:t>
      </w:r>
    </w:p>
    <w:p>
      <w:pPr>
        <w:spacing w:after="120"/>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осведомленности населения о вреде контрафактной продукции, содержащей объекты интеллектуальной собственности; формированию группы представителей средств массовой информации, специализирующихся по вопросам интеллектуальной собственности.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6.8 Экологическая безопасность и 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120"/>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120"/>
        <w:jc w:val="both"/>
      </w:pPr>
      <w:r>
        <w:rPr>
          <w:rFonts w:ascii="Arial" w:cs="Arial" w:eastAsia="Arial" w:hAnsi="Arial"/>
          <w:sz w:val="24"/>
          <w:szCs w:val="24"/>
        </w:rPr>
        <w:t xml:space="preserve">- реформа системы государственного управления охраной окружающей среды и природопользования;</w:t>
      </w:r>
    </w:p>
    <w:p>
      <w:pPr>
        <w:spacing w:after="120"/>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120"/>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120"/>
        <w:jc w:val="both"/>
      </w:pPr>
      <w:r>
        <w:rPr>
          <w:rFonts w:ascii="Arial" w:cs="Arial" w:eastAsia="Arial" w:hAnsi="Arial"/>
          <w:sz w:val="24"/>
          <w:szCs w:val="24"/>
        </w:rPr>
        <w:t xml:space="preserve">В среднесрочной перспективе будут внедрены нормы и стандарты, обеспечивающие динамичное социально-экономическое развитие страны без ущерба экосистеме страны, бережное отношение к природным ресурсам страны и разработку адаптивных механизмов к изменениям климата при развитии туристической, промышленной, сельскохозяйственной, горнодобывающей и других отраслей страны.</w:t>
      </w:r>
    </w:p>
    <w:p>
      <w:pPr>
        <w:spacing w:after="120"/>
        <w:jc w:val="both"/>
      </w:pPr>
      <w:r>
        <w:rPr>
          <w:rFonts w:ascii="Arial" w:cs="Arial" w:eastAsia="Arial" w:hAnsi="Arial"/>
          <w:sz w:val="24"/>
          <w:szCs w:val="24"/>
        </w:rPr>
        <w:t xml:space="preserve">Для минимизации негативных последствий изменения климата и его смягчения для населения и экономики страны будут приниматься меры по:</w:t>
      </w:r>
    </w:p>
    <w:p>
      <w:pPr>
        <w:spacing w:after="120"/>
        <w:jc w:val="both"/>
      </w:pPr>
      <w:r>
        <w:rPr>
          <w:rFonts w:ascii="Arial" w:cs="Arial" w:eastAsia="Arial" w:hAnsi="Arial"/>
          <w:sz w:val="24"/>
          <w:szCs w:val="24"/>
        </w:rPr>
        <w:t xml:space="preserve">- разработке отраслевых адаптационных программ по основным секторам;</w:t>
      </w:r>
    </w:p>
    <w:p>
      <w:pPr>
        <w:spacing w:after="120"/>
        <w:jc w:val="both"/>
      </w:pPr>
      <w:r>
        <w:rPr>
          <w:rFonts w:ascii="Arial" w:cs="Arial" w:eastAsia="Arial" w:hAnsi="Arial"/>
          <w:sz w:val="24"/>
          <w:szCs w:val="24"/>
        </w:rPr>
        <w:t xml:space="preserve">- внедрению методологий, методик и инструментов для планирования адаптационной деятельности;</w:t>
      </w:r>
    </w:p>
    <w:p>
      <w:pPr>
        <w:spacing w:after="120"/>
        <w:jc w:val="both"/>
      </w:pPr>
      <w:r>
        <w:rPr>
          <w:rFonts w:ascii="Arial" w:cs="Arial" w:eastAsia="Arial" w:hAnsi="Arial"/>
          <w:sz w:val="24"/>
          <w:szCs w:val="24"/>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6.9 Развитие реального сектора</w:t>
      </w:r>
    </w:p>
    <w:p>
      <w:pPr>
        <w:spacing w:after="120"/>
        <w:jc w:val="both"/>
      </w:pPr>
      <w:r>
        <w:rPr>
          <w:rFonts w:ascii="Arial" w:cs="Arial" w:eastAsia="Arial" w:hAnsi="Arial"/>
          <w:b/>
          <w:bCs/>
          <w:sz w:val="24"/>
          <w:szCs w:val="24"/>
        </w:rPr>
        <w:t xml:space="preserve">Сельское хозяйство</w:t>
      </w:r>
    </w:p>
    <w:p>
      <w:pPr>
        <w:spacing w:after="120"/>
        <w:jc w:val="both"/>
      </w:pPr>
      <w:r>
        <w:rPr>
          <w:rFonts w:ascii="Arial" w:cs="Arial" w:eastAsia="Arial" w:hAnsi="Arial"/>
          <w:sz w:val="24"/>
          <w:szCs w:val="24"/>
        </w:rPr>
        <w:t xml:space="preserve">Развитие сельского хозяйства будет сконцентрировано на следующих приоритетных направлениях: обеспечение населения страны необходимым объемом базовых продовольственных товаров; обеспечение перерабатывающих предприятий сырьем; повышение доходности сельскохозяйственного производства; увеличение доли переработки отечественного сельскохозяйственного сырья и производство пищевых продуктов; поддержка роста производства и экспорта агропромышленной продукции; обеспечение сельскохозяйственного производства сервисными услугами;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развития сельского хозяйства необходимо создание условий для увеличения производства качественной продукции и обеспечения продовольственной безопасности страны. Поэтому, особое внимание будет сосредоточено на следующих основных направлениях:</w:t>
      </w:r>
    </w:p>
    <w:p>
      <w:pPr>
        <w:spacing w:after="120"/>
        <w:jc w:val="both"/>
      </w:pPr>
      <w:r>
        <w:rPr>
          <w:rFonts w:ascii="Arial" w:cs="Arial" w:eastAsia="Arial" w:hAnsi="Arial"/>
          <w:sz w:val="24"/>
          <w:szCs w:val="24"/>
        </w:rPr>
        <w:t xml:space="preserve">(1) проведение политики по укрупнению, кооперации крестьянских и фермерских хозяйств, путем создания совместных и коллективных предприятий, для увеличения объемов производства сельхозпродукции;</w:t>
      </w:r>
    </w:p>
    <w:p>
      <w:pPr>
        <w:spacing w:after="120"/>
        <w:jc w:val="both"/>
      </w:pPr>
      <w:r>
        <w:rPr>
          <w:rFonts w:ascii="Arial" w:cs="Arial" w:eastAsia="Arial" w:hAnsi="Arial"/>
          <w:sz w:val="24"/>
          <w:szCs w:val="24"/>
        </w:rPr>
        <w:t xml:space="preserve">(2) создание в каждом регионе республики крупных заготовительных, перерабатывающих и распределительных сельскохозяйственных центров, для оптимизации и увеличения сроков хранения, объемов переработки и стандартов качества сельхозпродукции;</w:t>
      </w:r>
    </w:p>
    <w:p>
      <w:pPr>
        <w:spacing w:after="120"/>
        <w:jc w:val="both"/>
      </w:pPr>
      <w:r>
        <w:rPr>
          <w:rFonts w:ascii="Arial" w:cs="Arial" w:eastAsia="Arial" w:hAnsi="Arial"/>
          <w:sz w:val="24"/>
          <w:szCs w:val="24"/>
        </w:rPr>
        <w:t xml:space="preserve">(3) скорейшая унификация систем контроля качества по единым стандартам ЕАЭС, для возможности экспорта отечественной агропромышленной продукции;</w:t>
      </w:r>
    </w:p>
    <w:p>
      <w:pPr>
        <w:spacing w:after="120"/>
        <w:jc w:val="both"/>
      </w:pPr>
      <w:r>
        <w:rPr>
          <w:rFonts w:ascii="Arial" w:cs="Arial" w:eastAsia="Arial" w:hAnsi="Arial"/>
          <w:sz w:val="24"/>
          <w:szCs w:val="24"/>
        </w:rPr>
        <w:t xml:space="preserve">(4) развитие экспортного потенциала и количественного объема отечественной сельхозпродукции, ее привлекательности в целом, за счет увеличения предложения органических продуктов, сертифицированной продукции;</w:t>
      </w:r>
    </w:p>
    <w:p>
      <w:pPr>
        <w:spacing w:after="120"/>
        <w:jc w:val="both"/>
      </w:pPr>
      <w:r>
        <w:rPr>
          <w:rFonts w:ascii="Arial" w:cs="Arial" w:eastAsia="Arial" w:hAnsi="Arial"/>
          <w:sz w:val="24"/>
          <w:szCs w:val="24"/>
        </w:rPr>
        <w:t xml:space="preserve">(5) повышение эффективности рационального использования водных и земельных ресурсов, оптимизации производства и управления в сельском хозяйстве.</w:t>
      </w:r>
    </w:p>
    <w:p>
      <w:pPr>
        <w:spacing w:after="120"/>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2019 году прогнозируется в объеме 232,2 млрд сомов, а темп реального прироста – на уровне 2,7 %, с удельным весом в общем объеме ВВП 11,9 %, вклад в рост ВВП – 0,34 процентного пункта за счет прироста в растениеводстве – на 2,5 % и животноводстве – на 2,7 %.</w:t>
      </w:r>
    </w:p>
    <w:p>
      <w:pPr>
        <w:spacing w:after="120"/>
        <w:jc w:val="right"/>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Динамика темпов роста в сельском хозяйстве на 2018-2019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3"/>
        <w:gridCol w:w="1579"/>
        <w:gridCol w:w="1160"/>
        <w:gridCol w:w="1594"/>
        <w:gridCol w:w="1013"/>
      </w:tblGrid>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113669,8</w:t>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120094.5</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101375,6</w:t>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106642.9</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51,7 % и 45,9 %.</w:t>
      </w:r>
    </w:p>
    <w:p>
      <w:pPr>
        <w:spacing w:after="120"/>
        <w:jc w:val="both"/>
      </w:pPr>
      <w:r>
        <w:rPr>
          <w:rFonts w:ascii="Arial" w:cs="Arial" w:eastAsia="Arial" w:hAnsi="Arial"/>
          <w:sz w:val="24"/>
          <w:szCs w:val="24"/>
        </w:rPr>
        <w:t xml:space="preserve">В 2019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вредителей, болезней и сорняков; создания благоприятных условий по агрохимии и фитосанитарии в земледелии; увеличения удельного веса перспективных и рентабельных, с учетом региональных факторов, сортов и культур для повышения урожайности и объемов производства сельхозпродукции; постепенного обновления материально-технической базы сельского хозяйства; эффективного использования систем капельного орошения; увеличения количества тепличных хозяйств по всей республике; рационального использования пастбищ; своевременного проведения сезонных полевых работ; оптимизации структуры посевных площадей; улучшения семенного и племенного фондов.</w:t>
      </w:r>
    </w:p>
    <w:p>
      <w:pPr>
        <w:spacing w:after="120"/>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планируется увеличение посевной площади некоторых видов агропромышленной продукции, с учетом региональных факторов по урожайности: овощей, бахчевых, сахарной свеклы, плодово-ягодных и зерновых.</w:t>
      </w:r>
    </w:p>
    <w:p>
      <w:pPr>
        <w:spacing w:after="120"/>
        <w:jc w:val="both"/>
      </w:pPr>
      <w:r>
        <w:rPr>
          <w:rFonts w:ascii="Arial" w:cs="Arial" w:eastAsia="Arial" w:hAnsi="Arial"/>
          <w:sz w:val="24"/>
          <w:szCs w:val="24"/>
        </w:rPr>
        <w:t xml:space="preserve">При наличии доступа к высококачественным сортам пшеницы из Российской Федерации и Казахстана, продолжится сокращение ее посевов в сторону увеличения посевных площадей многолетних трав, создание кормовой базы в виде концентрированных, грубых и сочных кормов для ожидаемого увеличения поголовья скота и других видов сельскохозяйственных животных.</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w:t>
      </w:r>
    </w:p>
    <w:p>
      <w:pPr>
        <w:spacing w:after="120"/>
        <w:jc w:val="both"/>
      </w:pPr>
      <w:r>
        <w:rPr>
          <w:rFonts w:ascii="Arial" w:cs="Arial" w:eastAsia="Arial" w:hAnsi="Arial"/>
          <w:sz w:val="24"/>
          <w:szCs w:val="24"/>
        </w:rPr>
        <w:t xml:space="preserve">Рост производства мяса в живом весе прогнозируется на уровне 2,4 % и увеличится, по сравнению с предыдущим годом, на 9,9 тыс. тонн, молочной продукции – на 2,2 %, с увеличением на 34,6 тыс. тонн, яиц – на 9,2 %, с увеличением на 51,0 млн штук и шерсти – на 1,6 %, с увеличением на 0,2 тыс. тонн.</w:t>
      </w:r>
    </w:p>
    <w:p>
      <w:pPr>
        <w:spacing w:after="120"/>
        <w:jc w:val="both"/>
      </w:pPr>
      <w:r>
        <w:rPr>
          <w:rFonts w:ascii="Arial" w:cs="Arial" w:eastAsia="Arial" w:hAnsi="Arial"/>
          <w:sz w:val="24"/>
          <w:szCs w:val="24"/>
        </w:rPr>
        <w:t xml:space="preserve">В 2019 году рост в растениеводстве в основном будет обеспечен за счет увеличения производства: зерновых культур – на 1,9 %, за счет увеличения урожайности на 0,6 ц/га; сахарной свеклы – на 5,2 %, за счет повышения урожайности до 415,0 ц/га; хлопка – на 7,1 %, за счет повышения урожайности до 32,1 ц/га; масличных культур – на 3,8 %, за счет повышения урожайности до 12,5 ц/га, картофеля – на 2,2 %, за счет повышения урожайности до 172,9 ц/га, овощей – на 2,0 %, за счет повышения урожайности до 210,1 ц/га, плодов и ягод – на 1,6 %, за счет повышения урожайности до 49,3 ц/га.</w:t>
      </w:r>
    </w:p>
    <w:p>
      <w:pPr>
        <w:spacing w:after="120"/>
        <w:jc w:val="both"/>
      </w:pPr>
      <w:r>
        <w:rPr>
          <w:rFonts w:ascii="Arial" w:cs="Arial" w:eastAsia="Arial" w:hAnsi="Arial"/>
          <w:sz w:val="24"/>
          <w:szCs w:val="24"/>
        </w:rPr>
        <w:t xml:space="preserve">На достижение целевых показателей производства сельского хозяйства в 2019 году будут влиять следующие факторы:</w:t>
      </w:r>
    </w:p>
    <w:p>
      <w:pPr>
        <w:spacing w:after="120"/>
        <w:jc w:val="both"/>
      </w:pPr>
      <w:r>
        <w:rPr>
          <w:rFonts w:ascii="Arial" w:cs="Arial" w:eastAsia="Arial" w:hAnsi="Arial"/>
          <w:sz w:val="24"/>
          <w:szCs w:val="24"/>
        </w:rPr>
        <w:t xml:space="preserve">- влияние природно-климатического фактора;</w:t>
      </w:r>
    </w:p>
    <w:p>
      <w:pPr>
        <w:spacing w:after="120"/>
        <w:jc w:val="both"/>
      </w:pPr>
      <w:r>
        <w:rPr>
          <w:rFonts w:ascii="Arial" w:cs="Arial" w:eastAsia="Arial" w:hAnsi="Arial"/>
          <w:sz w:val="24"/>
          <w:szCs w:val="24"/>
        </w:rPr>
        <w:t xml:space="preserve">- оказание государственной поддержки в выделении ГСМ, обеспечении фермеров необходимой сельхозтехникой на льготных условиях в лизинг, в своевременном и достаточном обеспечении азотными минеральными удобрениями, а также семенным материалом;</w:t>
      </w:r>
    </w:p>
    <w:p>
      <w:pPr>
        <w:spacing w:after="120"/>
        <w:jc w:val="both"/>
      </w:pPr>
      <w:r>
        <w:rPr>
          <w:rFonts w:ascii="Arial" w:cs="Arial" w:eastAsia="Arial" w:hAnsi="Arial"/>
          <w:sz w:val="24"/>
          <w:szCs w:val="24"/>
        </w:rPr>
        <w:t xml:space="preserve">- дальнейшее развитие тепличных хозяйств, а также систем капельного орошения, при внедрении прогрессивных технологий растениеводства (биоинтенсивная, гидропонная, малообъемная технологии) на высокогорных и маловодных участках;</w:t>
      </w:r>
    </w:p>
    <w:p>
      <w:pPr>
        <w:spacing w:after="120"/>
        <w:jc w:val="both"/>
      </w:pPr>
      <w:r>
        <w:rPr>
          <w:rFonts w:ascii="Arial" w:cs="Arial" w:eastAsia="Arial" w:hAnsi="Arial"/>
          <w:sz w:val="24"/>
          <w:szCs w:val="24"/>
        </w:rPr>
        <w:t xml:space="preserve">- льготное кредитование фермеров в рамках Программы «Финансирование сельского хозяйства – 7»;</w:t>
      </w:r>
    </w:p>
    <w:p>
      <w:pPr>
        <w:spacing w:after="120"/>
        <w:jc w:val="both"/>
      </w:pPr>
      <w:r>
        <w:rPr>
          <w:rFonts w:ascii="Arial" w:cs="Arial" w:eastAsia="Arial" w:hAnsi="Arial"/>
          <w:sz w:val="24"/>
          <w:szCs w:val="24"/>
        </w:rPr>
        <w:t xml:space="preserve">- общее увеличение производительности труда, за счет оптимизации процессов, экономии всех видов затрат, повышения урожайности, освоения новых участков и технологий;</w:t>
      </w:r>
    </w:p>
    <w:p>
      <w:pPr>
        <w:spacing w:after="120"/>
        <w:jc w:val="both"/>
      </w:pPr>
      <w:r>
        <w:rPr>
          <w:rFonts w:ascii="Arial" w:cs="Arial" w:eastAsia="Arial" w:hAnsi="Arial"/>
          <w:sz w:val="24"/>
          <w:szCs w:val="24"/>
        </w:rPr>
        <w:t xml:space="preserve">- постепенное развитие центров хранения продукции и предприятий переработки во всех регионах республики;</w:t>
      </w:r>
    </w:p>
    <w:p>
      <w:pPr>
        <w:spacing w:after="120"/>
        <w:jc w:val="both"/>
      </w:pPr>
      <w:r>
        <w:rPr>
          <w:rFonts w:ascii="Arial" w:cs="Arial" w:eastAsia="Arial" w:hAnsi="Arial"/>
          <w:sz w:val="24"/>
          <w:szCs w:val="24"/>
        </w:rPr>
        <w:t xml:space="preserve">- наличие аккредитованных ветеринарных и фитосанитарных лабораторий, мясоубойных цехов.</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(11,9 %), Джалал-Абадская (19,2), Ошская (19,6 %) и Чуйская (25,8 %) области.</w:t>
      </w:r>
    </w:p>
    <w:p>
      <w:pPr>
        <w:spacing w:after="120"/>
        <w:jc w:val="both"/>
      </w:pPr>
      <w:r>
        <w:rPr>
          <w:rFonts w:ascii="Arial" w:cs="Arial" w:eastAsia="Arial" w:hAnsi="Arial"/>
          <w:sz w:val="24"/>
          <w:szCs w:val="24"/>
        </w:rPr>
        <w:t xml:space="preserve">Возможными рисками, которые могут привести к невыполнению прогнозируемых показателей в сельском хозяйстве, являются:</w:t>
      </w:r>
    </w:p>
    <w:p>
      <w:pPr>
        <w:spacing w:after="120"/>
        <w:jc w:val="both"/>
      </w:pPr>
      <w:r>
        <w:rPr>
          <w:rFonts w:ascii="Arial" w:cs="Arial" w:eastAsia="Arial" w:hAnsi="Arial"/>
          <w:sz w:val="24"/>
          <w:szCs w:val="24"/>
        </w:rPr>
        <w:t xml:space="preserve">- неблагоприятные природно-климатические условия (засуха, отсутствие полива, интенсивные и аномальные осадки, нехарактерные температуры);</w:t>
      </w:r>
    </w:p>
    <w:p>
      <w:pPr>
        <w:spacing w:after="120"/>
        <w:jc w:val="both"/>
      </w:pPr>
      <w:r>
        <w:rPr>
          <w:rFonts w:ascii="Arial" w:cs="Arial" w:eastAsia="Arial" w:hAnsi="Arial"/>
          <w:sz w:val="24"/>
          <w:szCs w:val="24"/>
        </w:rPr>
        <w:t xml:space="preserve">- непредсказуемость цен на топливо и горюче-смазочные материалы, изменчивость конъюнктуры рынка сельскохозяйственной продукции;</w:t>
      </w:r>
    </w:p>
    <w:p>
      <w:pPr>
        <w:spacing w:after="120"/>
        <w:jc w:val="both"/>
      </w:pPr>
      <w:r>
        <w:rPr>
          <w:rFonts w:ascii="Arial" w:cs="Arial" w:eastAsia="Arial" w:hAnsi="Arial"/>
          <w:sz w:val="24"/>
          <w:szCs w:val="24"/>
        </w:rPr>
        <w:t xml:space="preserve">- неблагоприятное для производителей изменение конъюнктуры рынка;</w:t>
      </w:r>
    </w:p>
    <w:p>
      <w:pPr>
        <w:spacing w:after="120"/>
        <w:jc w:val="both"/>
      </w:pPr>
      <w:r>
        <w:rPr>
          <w:rFonts w:ascii="Arial" w:cs="Arial" w:eastAsia="Arial" w:hAnsi="Arial"/>
          <w:sz w:val="24"/>
          <w:szCs w:val="24"/>
        </w:rPr>
        <w:t xml:space="preserve">- несвоевременная и недостаточная обеспеченность качественными семенами сельскохозяйственных культур, а также азотно-минеральными удобрениями;</w:t>
      </w:r>
    </w:p>
    <w:p>
      <w:pPr>
        <w:spacing w:after="120"/>
        <w:jc w:val="both"/>
      </w:pPr>
      <w:r>
        <w:rPr>
          <w:rFonts w:ascii="Arial" w:cs="Arial" w:eastAsia="Arial" w:hAnsi="Arial"/>
          <w:sz w:val="24"/>
          <w:szCs w:val="24"/>
        </w:rPr>
        <w:t xml:space="preserve">- возможная неблагоприятная эпизоотическая обстановка;</w:t>
      </w:r>
    </w:p>
    <w:p>
      <w:pPr>
        <w:spacing w:after="120"/>
        <w:jc w:val="both"/>
      </w:pPr>
      <w:r>
        <w:rPr>
          <w:rFonts w:ascii="Arial" w:cs="Arial" w:eastAsia="Arial" w:hAnsi="Arial"/>
          <w:sz w:val="24"/>
          <w:szCs w:val="24"/>
        </w:rPr>
        <w:t xml:space="preserve">- технический и моральный износ большей части сельскохозяйственной техники;</w:t>
      </w:r>
    </w:p>
    <w:p>
      <w:pPr>
        <w:spacing w:after="120"/>
        <w:jc w:val="both"/>
      </w:pPr>
      <w:r>
        <w:rPr>
          <w:rFonts w:ascii="Arial" w:cs="Arial" w:eastAsia="Arial" w:hAnsi="Arial"/>
          <w:sz w:val="24"/>
          <w:szCs w:val="24"/>
        </w:rPr>
        <w:t xml:space="preserve">- недостаточная обеспеченность качественными семенами и племенным материалом, минеральными, азотными и органическими удобрениями;</w:t>
      </w:r>
    </w:p>
    <w:p>
      <w:pPr>
        <w:spacing w:after="120"/>
        <w:jc w:val="both"/>
      </w:pPr>
      <w:r>
        <w:rPr>
          <w:rFonts w:ascii="Arial" w:cs="Arial" w:eastAsia="Arial" w:hAnsi="Arial"/>
          <w:sz w:val="24"/>
          <w:szCs w:val="24"/>
        </w:rPr>
        <w:t xml:space="preserve">- и т.д.</w:t>
      </w:r>
    </w:p>
    <w:p>
      <w:pPr>
        <w:spacing w:after="240" w:before="200"/>
        <w:jc w:val="center"/>
      </w:pPr>
      <w:r>
        <w:rPr>
          <w:rFonts w:ascii="Arial" w:cs="Arial" w:eastAsia="Arial" w:hAnsi="Arial"/>
          <w:b/>
          <w:bCs/>
          <w:sz w:val="32"/>
          <w:szCs w:val="32"/>
        </w:rPr>
        <w:t xml:space="preserve">Промышленность</w:t>
      </w:r>
    </w:p>
    <w:p>
      <w:pPr>
        <w:spacing w:after="120"/>
        <w:jc w:val="both"/>
      </w:pPr>
      <w:r>
        <w:rPr>
          <w:rFonts w:ascii="Arial" w:cs="Arial" w:eastAsia="Arial" w:hAnsi="Arial"/>
          <w:sz w:val="24"/>
          <w:szCs w:val="24"/>
        </w:rPr>
        <w:t xml:space="preserve">Промышленность</w:t>
      </w:r>
      <w:r>
        <w:rPr>
          <w:rFonts w:ascii="Arial" w:cs="Arial" w:eastAsia="Arial" w:hAnsi="Arial"/>
          <w:sz w:val="24"/>
          <w:szCs w:val="24"/>
        </w:rPr>
        <w:t xml:space="preserve">14</w:t>
      </w:r>
      <w:r>
        <w:rPr>
          <w:rFonts w:ascii="Arial" w:cs="Arial" w:eastAsia="Arial" w:hAnsi="Arial"/>
          <w:sz w:val="24"/>
          <w:szCs w:val="24"/>
        </w:rPr>
        <w:t xml:space="preserve"> является одной из важнейших отраслей национальной экономики, оказывающей значительное влияние на экономический рост. Перспектива развития промышленности может быть обеспечена за счет структурной и секторальной перестройки, как на уровне отраслей, так и на уровне первичных хозяйствующих субъектов, и достижения гибкой, восприимчивой к рынку сферы, позволяющей повысить уровень экономической и продовольственной независимости республики на базе устойчивого развития промышленной отрасли. Это предполагает образование новых предприятий, использующих новые наукоемкие и инновационные технологии, модернизацию и действующее техническое перевооружение, привлечение отечественных и иностранных инвестиций при ограниченности внутренних финансовых ресурсов, совершенствование нормативной правовой базы, улучшение финансово-кредитной, налоговой, таможенной, инновационной и инвестиционной политики и других условий, способствующих дальнейшему развитию отраслей промышленности.</w:t>
      </w:r>
    </w:p>
    <w:p>
      <w:pPr>
        <w:spacing w:after="120"/>
        <w:jc w:val="both"/>
      </w:pPr>
      <w:r>
        <w:rPr>
          <w:rFonts w:ascii="Arial" w:cs="Arial" w:eastAsia="Arial" w:hAnsi="Arial"/>
          <w:sz w:val="24"/>
          <w:szCs w:val="24"/>
        </w:rPr>
        <w:t xml:space="preserve">Основная цель развития промышленности в перспективе – выпуск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w:t>
      </w:r>
    </w:p>
    <w:p>
      <w:pPr>
        <w:spacing w:after="120"/>
        <w:jc w:val="both"/>
      </w:pPr>
      <w:r>
        <w:rPr>
          <w:rFonts w:ascii="Arial" w:cs="Arial" w:eastAsia="Arial" w:hAnsi="Arial"/>
          <w:sz w:val="24"/>
          <w:szCs w:val="24"/>
        </w:rPr>
        <w:t xml:space="preserve">Промышленность не потеряла своей главенствующей позиции в мировой экономике: 70 % мирового экспорта относятся к промышленной продукции. Промышленность остается главным инвестором в науку и инновации, так как до 90 % инвестиций в R&amp;D (исследования и разработки) приходятся на промышленность. Несмотря на то, что доля промышленности в ВВП Кыргызской Республики составляет всего в среднем 17 %, экспорт промышленной продукции составляет более 65 % от общего объема экспорта страны, а объемы поступления иностранных инвестиций в данную отрасль составляют 60 % всех привлеченных инвестиций, составив более 3,0 млн долл. США ежегодно с 2010 года. Промышленность остается важнейшей отраслью экономики с точки зрения отчислений в бюджет (налоговая нагрузка в среднем 25 %) и обеспечения занятостью (более 230 тыс. чел.).</w:t>
      </w:r>
    </w:p>
    <w:p>
      <w:pPr>
        <w:spacing w:after="120"/>
        <w:jc w:val="both"/>
      </w:pPr>
      <w:r>
        <w:rPr>
          <w:rFonts w:ascii="Arial" w:cs="Arial" w:eastAsia="Arial" w:hAnsi="Arial"/>
          <w:sz w:val="24"/>
          <w:szCs w:val="24"/>
        </w:rPr>
        <w:t xml:space="preserve">Сегодняшняя промышленность использует сложные технологии, часто импортируемые, и создает высокопроизводительные рабочие места. Спрос на производство не ограничивается низкими внутренними доходами и может расширяться за счет экспорта. Кроме того, технологическая важность промышленности заключена в ее способности порождать множество отраслей по соседству, в результате синергии производственных компонентов и многозадачности множества элементов. Помимо способности порождать инновации, реально изменяющие жизнь человечества, именно от промышленности и передового производства зависит уровень развития сферы услуг.</w:t>
      </w:r>
    </w:p>
    <w:p>
      <w:pPr>
        <w:spacing w:after="120"/>
        <w:jc w:val="both"/>
      </w:pPr>
      <w:r>
        <w:rPr>
          <w:rFonts w:ascii="Arial" w:cs="Arial" w:eastAsia="Arial" w:hAnsi="Arial"/>
          <w:sz w:val="24"/>
          <w:szCs w:val="24"/>
        </w:rPr>
        <w:t xml:space="preserve">В соответствии с Программой развития Кыргызской Республики на период 2018-2022 годов «Единство. Доверие. Созидание» в среднесрочной перспективе будет проводиться работа по восстановлению промышленной базы страны.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реализации Программы развития пищевой и перерабатывающей промышленности Кыргызской Республики на 2017-2021 годы (</w:t>
      </w:r>
      <w:hyperlink w:history="1" r:id="rIddzyqxm2bpffdwv1y-9gz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марта 2017 года № 191); проекта «Финансирование экспортно ориентированных и импортозамещающих предприятий – 1».</w:t>
      </w:r>
    </w:p>
    <w:p>
      <w:pPr>
        <w:spacing w:after="120"/>
        <w:jc w:val="both"/>
      </w:pPr>
      <w:r>
        <w:rPr>
          <w:rFonts w:ascii="Arial" w:cs="Arial" w:eastAsia="Arial" w:hAnsi="Arial"/>
          <w:sz w:val="24"/>
          <w:szCs w:val="24"/>
        </w:rPr>
        <w:t xml:space="preserve">Горнодобывающая отрасль является одной из самых привлекательных сфер для привлечения иностранных инвесторов. В этой части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 Политика в сфере недропользования будет построена на основе поддержания баланса интересов государства и горнодобывающего бизнеса. Базовым принципом политики будет создание условий для всемерного развития частной инициативы, которая должна принять на себя коммерческие риски через обеспечение финансовыми и человеческими ресурсами в рамках простых, четких и прозрачных правил, сформулированных законодательством о недропользовании.</w:t>
      </w:r>
    </w:p>
    <w:p>
      <w:pPr>
        <w:spacing w:after="120"/>
        <w:jc w:val="both"/>
      </w:pPr>
      <w:r>
        <w:rPr>
          <w:rFonts w:ascii="Arial" w:cs="Arial" w:eastAsia="Arial" w:hAnsi="Arial"/>
          <w:sz w:val="24"/>
          <w:szCs w:val="24"/>
        </w:rPr>
        <w:t xml:space="preserve">Строительство обогатительных фабрик станет одним из реальных инструментов создания цепочек добавленной стоимости на территории страны. Правительством будут предложены меры по устранению конфликтов горнодобывающих предприятий с местным населением, а также внедрены необходимые требования по экологической безопасности и применению современных технологий при реализации инвестиционных бизнес-проектов.</w:t>
      </w:r>
    </w:p>
    <w:p>
      <w:pPr>
        <w:spacing w:after="120"/>
        <w:jc w:val="both"/>
      </w:pPr>
      <w:r>
        <w:rPr>
          <w:rFonts w:ascii="Arial" w:cs="Arial" w:eastAsia="Arial" w:hAnsi="Arial"/>
          <w:sz w:val="24"/>
          <w:szCs w:val="24"/>
        </w:rPr>
        <w:t xml:space="preserve">В нефтеперерабатывающем производстве Кыргызской Республики будут созданы условия для привлечения иностранных партнеров к модернизации отечественных нефтеперерабатывающих предприятий и перехода на производство топлива высоких экологических стандартов качества. Необходимо также активизировать деятельность по освоению производственных мощностей нефтеперерабатывающих заводов и увеличению количества добычи нефтепродуктов на территории страны.</w:t>
      </w:r>
    </w:p>
    <w:p>
      <w:pPr>
        <w:spacing w:after="120"/>
        <w:jc w:val="both"/>
      </w:pPr>
      <w:r>
        <w:rPr>
          <w:rFonts w:ascii="Arial" w:cs="Arial" w:eastAsia="Arial" w:hAnsi="Arial"/>
          <w:sz w:val="24"/>
          <w:szCs w:val="24"/>
        </w:rPr>
        <w:t xml:space="preserve">Развитие производства основных металлов будет активизировано за счет привлечения инвестиций в модернизацию действующих и восстановления деятельности простаивающих предприятий, ориентированных на экспорт и/или импортозамещение промышленной продукции.</w:t>
      </w:r>
    </w:p>
    <w:p>
      <w:pPr>
        <w:spacing w:after="120"/>
        <w:jc w:val="both"/>
      </w:pPr>
      <w:r>
        <w:rPr>
          <w:rFonts w:ascii="Arial" w:cs="Arial" w:eastAsia="Arial" w:hAnsi="Arial"/>
          <w:sz w:val="24"/>
          <w:szCs w:val="24"/>
        </w:rPr>
        <w:t xml:space="preserve">Значительный потенциал дальнейшего увеличения объемов производства стройматериалов в Кыргызстане и развитие промышленной базы строительной индустрии будет ориентироваться на увеличение объемов жилищного и промышленного строительства, переход на новые архитектурно-строительные системы, увеличение доступного финансирования при формировании новых кооперационных цепочек от добычи сырья до производства готовой продукции.</w:t>
      </w:r>
    </w:p>
    <w:p>
      <w:pPr>
        <w:spacing w:after="120"/>
        <w:jc w:val="both"/>
      </w:pPr>
      <w:r>
        <w:rPr>
          <w:rFonts w:ascii="Arial" w:cs="Arial" w:eastAsia="Arial" w:hAnsi="Arial"/>
          <w:sz w:val="24"/>
          <w:szCs w:val="24"/>
        </w:rPr>
        <w:t xml:space="preserve">Одним из «драйверов» роста экономики в пятилетней Программе развития Кыргызской Республики на период 2018-2022 годов «Единство. Доверие. Созидание» определено развитие текстильного и швейного производства, имеющего экспортно ориентированный характер. Основными направлениями работы будут создание технополиса и кластеров легкой промышленности в регионах страны, с объединением производителей сырья и готовой продукции. Кластерный подход направлен на реанимацию отраслей легкой промышленности, в частности текстильной, кожевенной и обувной, с учетом особенностей того или иного региона. Будет предложен новый механизм развития и повышения экспортного потенциала отрасли путем создания промышленных кластеров и интегрирования различных отраслей и видов деятельности. Создание двух индустриальных технополисов с полным циклом производства и сбыта швейной продукции позволит создание 45 тыс. рабочих мест, общая стоимость объектов 245 млн долларов США.</w:t>
      </w:r>
    </w:p>
    <w:p>
      <w:pPr>
        <w:spacing w:after="120"/>
        <w:jc w:val="both"/>
      </w:pPr>
      <w:r>
        <w:rPr>
          <w:rFonts w:ascii="Arial" w:cs="Arial" w:eastAsia="Arial" w:hAnsi="Arial"/>
          <w:sz w:val="24"/>
          <w:szCs w:val="24"/>
        </w:rPr>
        <w:t xml:space="preserve">Приоритетным направлением работы Правительства в промышленном производстве будет создание сборочных производств и локализация иностранных предприятий с учетом включения отечественных материалов в производственный процесс, а также новых отраслей промышленности.</w:t>
      </w:r>
    </w:p>
    <w:p>
      <w:pPr>
        <w:spacing w:after="120"/>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и регионов, энергоэффективности реального сектора экономики, доступности энергоносителей для каждого потребителя будут реализованы приоритетные задачи: реконструкция и модернизация действующих и замена выбывающих мощностей, с внедрением инновационных энергоэффективных технологий, проведение политики, направленной на устранение неэкономических барьеров, обеспечение прозрачных, предсказуемых и гибких стимулов для развития возобновляемой энергетики.</w:t>
      </w:r>
    </w:p>
    <w:p>
      <w:pPr>
        <w:spacing w:after="120"/>
        <w:jc w:val="both"/>
      </w:pPr>
      <w:r>
        <w:rPr>
          <w:rFonts w:ascii="Arial" w:cs="Arial" w:eastAsia="Arial" w:hAnsi="Arial"/>
          <w:sz w:val="24"/>
          <w:szCs w:val="24"/>
        </w:rPr>
        <w:t xml:space="preserve">Также одним из приоритетных направлений промышленной политики являются рост и поддержка экспорта. Для этого необходимо решать задачи по техническому перевооружению промышленности, создать систему подготовки и обучения инженерных кадров, внедрить новые технологии, обеспечить оборотными средствами и сырьем промышленные структуры, создать механизмы, стимулирующие производство экспортной продукции.</w:t>
      </w:r>
    </w:p>
    <w:p>
      <w:pPr>
        <w:spacing w:after="120"/>
        <w:jc w:val="both"/>
      </w:pPr>
      <w:r>
        <w:rPr>
          <w:rFonts w:ascii="Arial" w:cs="Arial" w:eastAsia="Arial" w:hAnsi="Arial"/>
          <w:sz w:val="24"/>
          <w:szCs w:val="24"/>
        </w:rPr>
        <w:t xml:space="preserve">Благодаря предоставленному Кыргызской Республике статусу всеобщей системы преференций+ (далее – ВСП+) экспортеры из Кыргызской Республики смогут поставлять в ЕС товары по нулевым тарифным ставкам, то есть фактически беспошлинно. Правительство реализует комплекс мер, которые позволят местным предприятиям использовать возможности ВСП+ для роста экспорта продукции в страны ЕС.</w:t>
      </w:r>
    </w:p>
    <w:p>
      <w:pPr>
        <w:spacing w:after="120"/>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120"/>
        <w:jc w:val="both"/>
      </w:pPr>
      <w:r>
        <w:rPr>
          <w:rFonts w:ascii="Arial" w:cs="Arial" w:eastAsia="Arial" w:hAnsi="Arial"/>
          <w:sz w:val="24"/>
          <w:szCs w:val="24"/>
        </w:rPr>
        <w:t xml:space="preserve">В целях развития промышленности Кыргызской Республики будут предусмотрены меры по созданию адекватного, жизнеспособного и конкурентоспособного производственного потенциала в промышленности, которая включает в себя вопросы размещения производительных сил в промышленных зонах городов, с внедрением кластерных принципов управления, с совмещением территориально-отраслевых критериев развития промышленности; поощрению к инвестированию хозяйствующих субъектов малого и среднего предпринимательства; стимулированию экспорта и др.</w:t>
      </w:r>
    </w:p>
    <w:p>
      <w:pPr>
        <w:spacing w:after="120"/>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120"/>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производства,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более 90 %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120"/>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около 40 %), а также неустойчивой работы энергетической отрасли (доля в промышленности около 17 %) из-за влияния природно-климатического фактора.</w:t>
      </w:r>
    </w:p>
    <w:p>
      <w:pPr>
        <w:spacing w:after="120"/>
        <w:jc w:val="both"/>
      </w:pPr>
      <w:r>
        <w:rPr>
          <w:rFonts w:ascii="Arial" w:cs="Arial" w:eastAsia="Arial" w:hAnsi="Arial"/>
          <w:sz w:val="24"/>
          <w:szCs w:val="24"/>
        </w:rPr>
        <w:t xml:space="preserve">В результате, в промышленной отрасли на 2019 год прогнозируется реальный рост объемов производства на 3,2 %. Без учета предприятий по разработке месторождения Кумтор, реальный прирост промышленного производства прогнозируется на уровне 8,8 %.</w:t>
      </w:r>
    </w:p>
    <w:p>
      <w:pPr>
        <w:spacing w:after="120"/>
        <w:jc w:val="right"/>
      </w:pPr>
      <w:r>
        <w:rPr>
          <w:rFonts w:ascii="Arial" w:cs="Arial" w:eastAsia="Arial" w:hAnsi="Arial"/>
          <w:sz w:val="24"/>
          <w:szCs w:val="24"/>
        </w:rPr>
        <w:t xml:space="preserve">Таблица 15</w:t>
      </w:r>
    </w:p>
    <w:p>
      <w:pPr>
        <w:spacing w:after="24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 </w:t>
      </w:r>
      <w:r>
        <w:rPr>
          <w:rFonts w:ascii="Arial" w:cs="Arial" w:eastAsia="Arial" w:hAnsi="Arial"/>
          <w:b/>
          <w:bCs/>
          <w:sz w:val="32"/>
          <w:szCs w:val="32"/>
        </w:rPr>
        <w:t xml:space="preserve">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45"/>
        <w:gridCol w:w="1346"/>
        <w:gridCol w:w="1288"/>
      </w:tblGrid>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всего</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обрабатывающие производства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целом вклад промышленности в рост ВВП составляет 0,41 процентного пункта, с удельным весом в объеме ВВП 17,6 %, без учета предприятий по разработке месторождения Кумтор, – положительный вклад в рост ВВП составит 0,85 процентного пункта.</w:t>
      </w:r>
    </w:p>
    <w:p>
      <w:pPr>
        <w:spacing w:after="120"/>
        <w:jc w:val="both"/>
      </w:pPr>
      <w:r>
        <w:rPr>
          <w:rFonts w:ascii="Arial" w:cs="Arial" w:eastAsia="Arial" w:hAnsi="Arial"/>
          <w:sz w:val="24"/>
          <w:szCs w:val="24"/>
        </w:rPr>
        <w:t xml:space="preserve">1) В обрабатывающем производстве, с самым высоким удельным весом (75,8 %) в производстве промышленной продукции, в 2019 году прогнозируется реальный рост на 102,8 %, который обусловлен, в основном, за счет:</w:t>
      </w:r>
    </w:p>
    <w:p>
      <w:pPr>
        <w:spacing w:after="120"/>
        <w:jc w:val="both"/>
      </w:pPr>
      <w:r>
        <w:rPr>
          <w:rFonts w:ascii="Arial" w:cs="Arial" w:eastAsia="Arial" w:hAnsi="Arial"/>
          <w:sz w:val="24"/>
          <w:szCs w:val="24"/>
        </w:rPr>
        <w:t xml:space="preserve">реального роста производства продуктов (включая напитки) (удельный вес в общем объеме промышленности 18,2 %), где прогнозируется прирост на 9,5 % за счет устойчивой работы предприятий по производству хлеба, муки, молочных и мясных продуктов и других продуктов питания, спрос на которые стабильный. Основными мерами для развития будут создание специальных лабораторий для определения качества сельскохозяйственной продукции животного и растительного происхождения, продуктов ее переработки, отвечающих требованиям международных стандартов, логистических центров, специализированных убойных цехов, продолжение льготного финансирования предприятий перерабатывающего производства;</w:t>
      </w:r>
    </w:p>
    <w:p>
      <w:pPr>
        <w:spacing w:after="120"/>
        <w:jc w:val="both"/>
      </w:pPr>
      <w:r>
        <w:rPr>
          <w:rFonts w:ascii="Arial" w:cs="Arial" w:eastAsia="Arial" w:hAnsi="Arial"/>
          <w:sz w:val="24"/>
          <w:szCs w:val="24"/>
        </w:rPr>
        <w:t xml:space="preserve">роста объемов текстильного производства; производства одежды и обуви, кожи и прочих кожаных изделий (удельный вес в общем объеме промышленности – 4,3 %) на 12,0 % за счет восстановления производства после существенного спада в 2013-2016 годах, освоения новых рынков сбыта (рынки государств-членов ЕАЭС), запуска новых предприятий и увеличения экспортных поставок;</w:t>
      </w:r>
    </w:p>
    <w:p>
      <w:pPr>
        <w:spacing w:after="120"/>
        <w:jc w:val="both"/>
      </w:pPr>
      <w:r>
        <w:rPr>
          <w:rFonts w:ascii="Arial" w:cs="Arial" w:eastAsia="Arial" w:hAnsi="Arial"/>
          <w:sz w:val="24"/>
          <w:szCs w:val="24"/>
        </w:rPr>
        <w:t xml:space="preserve">производства строительных материалов (рост на 7 %), удельный вес которого в общем объеме промышленности составит 8,7 % за счет: максимальной загрузки производственной мощности ОсОО «Интергласс», где объем производства листового стекла достигнет 25 млн кв. м за счет возобновления спроса на кыргызское листовое стекло на его основных рынках сбыта – России и Казахстана, на которые поставлялось до 95,0 %; роста производства цемента и асбестоцементных изделий прогнозируется за счет наращивания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а также наращивания производства акционерного общества (далее – АО) «ОШ АК-ТАШ» (Ошская область, гор. Ош) по производству строительных материалов – керамических строительных кирпичей, строительного гипса, выпуску дробленого песка и щебня, обработке камня за счет модернизации и реконструкции действующих кирпичных заводов, и восстановления простаивающего кирпичного завода в селе Мырза-Ака Узгенского района (из средств РКФР – 1 218 641 доллар США). Состояние и перспективы развития производства прочих неметаллических минеральных продуктов в большей степени определяются развитием строительной отрасли и экспортными возможностями цементного и стекольного производств;</w:t>
      </w:r>
    </w:p>
    <w:p>
      <w:pPr>
        <w:spacing w:after="120"/>
        <w:jc w:val="both"/>
      </w:pPr>
      <w:r>
        <w:rPr>
          <w:rFonts w:ascii="Arial" w:cs="Arial" w:eastAsia="Arial" w:hAnsi="Arial"/>
          <w:sz w:val="24"/>
          <w:szCs w:val="24"/>
        </w:rPr>
        <w:t xml:space="preserve">производство готовых металлических изделий за счет повышения технологического уровня и качества выпускаемой продукции предприятиями данной отрасли, улучшения маркетинговой службы, увеличения объемов выполнения услуг для населения;</w:t>
      </w:r>
    </w:p>
    <w:p>
      <w:pPr>
        <w:spacing w:after="120"/>
        <w:jc w:val="both"/>
      </w:pPr>
      <w:r>
        <w:rPr>
          <w:rFonts w:ascii="Arial" w:cs="Arial" w:eastAsia="Arial" w:hAnsi="Arial"/>
          <w:sz w:val="24"/>
          <w:szCs w:val="24"/>
        </w:rPr>
        <w:t xml:space="preserve">устойчивой работы предприятий по производству электрического оборудования и машин (прирост на 1,8 %), деревянных и бумажных изделий; полиграфической деятельности (на 2,3 %), фармацевтической продукции (на 16,0 %), резиновых и пластмассовых изделий (на 7,1 %), компьютеров, электронного и оптического оборудования (на 2,0 %), транспортных средств (на 3,0 %) и т.д.;</w:t>
      </w:r>
    </w:p>
    <w:p>
      <w:pPr>
        <w:spacing w:after="120"/>
        <w:jc w:val="both"/>
      </w:pPr>
      <w:r>
        <w:rPr>
          <w:rFonts w:ascii="Arial" w:cs="Arial" w:eastAsia="Arial" w:hAnsi="Arial"/>
          <w:sz w:val="24"/>
          <w:szCs w:val="24"/>
        </w:rPr>
        <w:t xml:space="preserve">- наращивания объемов производства основного металла на месторождении Талды-Булак Левобережный, где запланирован рост в 1,3 раза;</w:t>
      </w:r>
    </w:p>
    <w:p>
      <w:pPr>
        <w:spacing w:after="120"/>
        <w:jc w:val="both"/>
      </w:pPr>
      <w:r>
        <w:rPr>
          <w:rFonts w:ascii="Arial" w:cs="Arial" w:eastAsia="Arial" w:hAnsi="Arial"/>
          <w:sz w:val="24"/>
          <w:szCs w:val="24"/>
        </w:rPr>
        <w:t xml:space="preserve">- наращивания объемов производства основного металла на месторождении Жамгыр, где запланирован прирост 16 %;</w:t>
      </w:r>
    </w:p>
    <w:p>
      <w:pPr>
        <w:spacing w:after="120"/>
        <w:jc w:val="both"/>
      </w:pPr>
      <w:r>
        <w:rPr>
          <w:rFonts w:ascii="Arial" w:cs="Arial" w:eastAsia="Arial" w:hAnsi="Arial"/>
          <w:sz w:val="24"/>
          <w:szCs w:val="24"/>
        </w:rPr>
        <w:t xml:space="preserve">- ожидаемого запуска производства на месторождении Джеруй с выработкой основного металла начиная с 2019 года.</w:t>
      </w:r>
    </w:p>
    <w:p>
      <w:pPr>
        <w:spacing w:after="120"/>
        <w:jc w:val="both"/>
      </w:pPr>
      <w:r>
        <w:rPr>
          <w:rFonts w:ascii="Arial" w:cs="Arial" w:eastAsia="Arial" w:hAnsi="Arial"/>
          <w:sz w:val="24"/>
          <w:szCs w:val="24"/>
        </w:rPr>
        <w:t xml:space="preserve">При этом, на месторождении Кумтор прогнозируется снижение объема производства основных металлов по сравнению с 2018 годом согласно производственному плану предприятия.</w:t>
      </w:r>
    </w:p>
    <w:p>
      <w:pPr>
        <w:spacing w:after="120"/>
        <w:jc w:val="both"/>
      </w:pPr>
      <w:r>
        <w:rPr>
          <w:rFonts w:ascii="Arial" w:cs="Arial" w:eastAsia="Arial" w:hAnsi="Arial"/>
          <w:sz w:val="24"/>
          <w:szCs w:val="24"/>
        </w:rPr>
        <w:t xml:space="preserve">Также, прогнозируется уменьшение объемов производства на ОАО «Кыргызалтын», где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w:t>
      </w:r>
    </w:p>
    <w:p>
      <w:pPr>
        <w:spacing w:after="120"/>
        <w:jc w:val="both"/>
      </w:pPr>
      <w:r>
        <w:rPr>
          <w:rFonts w:ascii="Arial" w:cs="Arial" w:eastAsia="Arial" w:hAnsi="Arial"/>
          <w:sz w:val="24"/>
          <w:szCs w:val="24"/>
        </w:rPr>
        <w:t xml:space="preserve">2) В добыче полезных ископаемых (удельный вес 7,6 % в объеме промышленного производства) в 2019 году прирост объема производства прогнозируется на уровне 2,8 %, в том числе добыча каменного и бурого угля увеличится на 5 %, металлических руд – на 2,0 %, сырой нефти и природного газа – на 5,0 %.</w:t>
      </w:r>
    </w:p>
    <w:p>
      <w:pPr>
        <w:spacing w:after="120"/>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120"/>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120"/>
        <w:jc w:val="both"/>
      </w:pPr>
      <w:r>
        <w:rPr>
          <w:rFonts w:ascii="Arial" w:cs="Arial" w:eastAsia="Arial" w:hAnsi="Arial"/>
          <w:sz w:val="24"/>
          <w:szCs w:val="24"/>
        </w:rPr>
        <w:t xml:space="preserve">- разработка нефтегазовых месторождений Кугарт и Майлисуу IV в соответствии с подписанным Соглашением между Правительством Кыргызской Республики и ОАО «Газпром» об общих принципах проведения геологического изучения недр на нефтегазоперспективных площадях Кыргызской Республики;</w:t>
      </w:r>
    </w:p>
    <w:p>
      <w:pPr>
        <w:spacing w:after="120"/>
        <w:jc w:val="both"/>
      </w:pPr>
      <w:r>
        <w:rPr>
          <w:rFonts w:ascii="Arial" w:cs="Arial" w:eastAsia="Arial" w:hAnsi="Arial"/>
          <w:sz w:val="24"/>
          <w:szCs w:val="24"/>
        </w:rPr>
        <w:t xml:space="preserve">- развитие мощностей предприятий, разрабатывающих буроугольные месторождения Кара-Кече и Мин-Куш Кавакского буроугольного бассейна Нарынской области Кыргызской Республики, с привлечением инвестиций в развитие перспективных предприятий этого региона в целях наращивания объемов поставок кыргызского угля мелких фракций (штыбов) для использования на ТЭЦ гор. Бишкек;</w:t>
      </w:r>
    </w:p>
    <w:p>
      <w:pPr>
        <w:spacing w:after="120"/>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регионов за счет привлечения инвестиций в модернизацию и обновление горно-шахтного оборудования;</w:t>
      </w:r>
    </w:p>
    <w:p>
      <w:pPr>
        <w:spacing w:after="120"/>
        <w:jc w:val="both"/>
      </w:pPr>
      <w:r>
        <w:rPr>
          <w:rFonts w:ascii="Arial" w:cs="Arial" w:eastAsia="Arial" w:hAnsi="Arial"/>
          <w:sz w:val="24"/>
          <w:szCs w:val="24"/>
        </w:rPr>
        <w:t xml:space="preserve">- сохранение достигнутых объемов добычи и поставки угля бюджетным потребителям, населению республики, а также развивающимся промышленным предприятиям для использования в технологических целях, в частности, цементным предприятиям южного региона;</w:t>
      </w:r>
    </w:p>
    <w:p>
      <w:pPr>
        <w:spacing w:after="120"/>
        <w:jc w:val="both"/>
      </w:pPr>
      <w:r>
        <w:rPr>
          <w:rFonts w:ascii="Arial" w:cs="Arial" w:eastAsia="Arial" w:hAnsi="Arial"/>
          <w:sz w:val="24"/>
          <w:szCs w:val="24"/>
        </w:rPr>
        <w:t xml:space="preserve">- наращивание объемов добычи руды на месторождениях Бозымчак, Иштамберди, Кара-Казык.</w:t>
      </w:r>
    </w:p>
    <w:p>
      <w:pPr>
        <w:spacing w:after="120"/>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15,7 %) на 2019 год прогнозируется прирост объемов на 5,2 %.</w:t>
      </w:r>
    </w:p>
    <w:p>
      <w:pPr>
        <w:spacing w:after="120"/>
        <w:jc w:val="both"/>
      </w:pPr>
      <w:r>
        <w:rPr>
          <w:rFonts w:ascii="Arial" w:cs="Arial" w:eastAsia="Arial" w:hAnsi="Arial"/>
          <w:sz w:val="24"/>
          <w:szCs w:val="24"/>
        </w:rPr>
        <w:t xml:space="preserve">Расчет прогнозных показателей выполнен с учетом роста внутреннего потребления электроэнергии по представленным прогнозным заявкам распределительных электросетевых компаний, увеличения выработки электроэнергии на ТЭЦ гор. Бишкек в связи с завершением реконструкции станции (пуска двух новых агрегатов по 150 МВт), существующего наполнения Токтогульского водохранилища и при условии пуска в 2019 году второго агрегата Камбаратинской ГЭС-2.</w:t>
      </w:r>
    </w:p>
    <w:p>
      <w:pPr>
        <w:spacing w:after="120"/>
        <w:jc w:val="both"/>
      </w:pPr>
      <w:r>
        <w:rPr>
          <w:rFonts w:ascii="Arial" w:cs="Arial" w:eastAsia="Arial" w:hAnsi="Arial"/>
          <w:sz w:val="24"/>
          <w:szCs w:val="24"/>
        </w:rPr>
        <w:t xml:space="preserve">Выработка электроэнергии на 2019 год прогнозируется в объеме 15 546,2 млн кВтч, что больше на 168,9 млн кВтч по сравнению с 2018 годом, которая рассчитана с учетом среднемноголетней приточности р. Нарын в створе Токтогульского гидроузла.</w:t>
      </w:r>
    </w:p>
    <w:p>
      <w:pPr>
        <w:spacing w:after="120"/>
        <w:jc w:val="both"/>
      </w:pPr>
      <w:r>
        <w:rPr>
          <w:rFonts w:ascii="Arial" w:cs="Arial" w:eastAsia="Arial" w:hAnsi="Arial"/>
          <w:sz w:val="24"/>
          <w:szCs w:val="24"/>
        </w:rPr>
        <w:t xml:space="preserve">Выработка тепловой энергии составит 3000 тыс. Гкал и зависит от климатических условий прогнозируемого периода.</w:t>
      </w:r>
    </w:p>
    <w:p>
      <w:pPr>
        <w:spacing w:after="120"/>
        <w:jc w:val="both"/>
      </w:pPr>
      <w:r>
        <w:rPr>
          <w:rFonts w:ascii="Arial" w:cs="Arial" w:eastAsia="Arial" w:hAnsi="Arial"/>
          <w:sz w:val="24"/>
          <w:szCs w:val="24"/>
        </w:rPr>
        <w:t xml:space="preserve">Разработанная ОАО «Газпром» (Российская Федерация)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Всего в 2019 году поступление природного газа в Кыргызскую Республику прогнозируется в объеме 375,0 млн м3, что на 23,6 % больше по сравнению с 2018 годом, что позволит увеличить объем услуг по распределению газообразного топлива через системы газоснабжения на 12 %. Потребление природного газа будет зависеть от потребностей теплоснабжающих организаций, ОАО «Электрические станции», которое является крупнейшим потребителем природного газа. Также, на тарифы на природный газ имеют влияние внешнеэкономическая ситуация, курс валют, так как природный газ покупается по курсу доллара (большая волатильность курса доллара и тенденция к росту). В балансе электроэнергии импорт электроэнергии отсутствует. При условии благоприятной приточности водных ресурсов в Токтогульское водохранилище будет осуществлен экспорт электроэнергии.</w:t>
      </w:r>
    </w:p>
    <w:p>
      <w:pPr>
        <w:spacing w:after="120"/>
        <w:jc w:val="both"/>
      </w:pPr>
      <w:r>
        <w:rPr>
          <w:rFonts w:ascii="Arial" w:cs="Arial" w:eastAsia="Arial" w:hAnsi="Arial"/>
          <w:sz w:val="24"/>
          <w:szCs w:val="24"/>
        </w:rPr>
        <w:t xml:space="preserve">Для обеспечения устойчивой работы энергетической отрасли запланированы капитальные вложения на сумму 15,85 млрд сомов и ввод в действие основных производственных фондов на сумму 25,42 млрд сомов. Вероятность того, что прогнозные планы будут реализованы, зависит от обеспечения их источником финансирования. Финансовые институты, обеспечивающие финансирование капитальных вложений, прежние, за исключением Евразийского фонда стабилизации и развития. В рассматриваемый период планируется принятие мер по увеличению генерирующих энергомощностей. Предусмотрены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SCADА и АИСКУЭ.</w:t>
      </w:r>
    </w:p>
    <w:p>
      <w:pPr>
        <w:spacing w:after="120"/>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имеют незначительный удельный вес (0,8 %), прогнозируется реальный рост на уровне 5,3 % за счет роста объемов сбора, обработки и распределения воды (водоснабжение) на 5 %, сбора, обработки и уничтожения отходов, получения вторичного сырья – на 8 % и проведения обеззараживания и прочей обработки отходов – на 5 %.</w:t>
      </w:r>
    </w:p>
    <w:p>
      <w:pPr>
        <w:spacing w:after="120"/>
        <w:jc w:val="both"/>
      </w:pPr>
      <w:r>
        <w:rPr>
          <w:rFonts w:ascii="Arial" w:cs="Arial" w:eastAsia="Arial" w:hAnsi="Arial"/>
          <w:sz w:val="24"/>
          <w:szCs w:val="24"/>
        </w:rPr>
        <w:t xml:space="preserve">Рост физического объема промышленной продукции в 2019 году прогнозируется достичь во всех регионах республики. Основной вклад в объем промышленного производства традиционно внесут: Чуйская (45,5 %), Иссык-Кульская (20,0 %), Джалал-Абадская (11,3 %) области и гор. Бишкек (15,5 %), суммарная доля которых составит 92,3 %. В Иссык-Кульской и Чуйской областях рост объемов производства промышленной продукции прогнозируется за счет стабильной работы предприятий по разработке месторождения Кумтор и наращивания объемов производства нефтеперерабатывающего завода «Джунда» и Токмокского нефтеперерабатывающего завода, в Джалал-Абадской области – наращивания объемов производства на месторождениях Бозымчак, Иштаберди, Жамгыр и увеличения объемов производства электроэнергии.</w:t>
      </w:r>
    </w:p>
    <w:p>
      <w:pPr>
        <w:spacing w:after="120"/>
        <w:jc w:val="both"/>
      </w:pPr>
      <w:r>
        <w:rPr>
          <w:rFonts w:ascii="Arial" w:cs="Arial" w:eastAsia="Arial" w:hAnsi="Arial"/>
          <w:sz w:val="24"/>
          <w:szCs w:val="24"/>
        </w:rPr>
        <w:t xml:space="preserve">Для достижения прогнозируемых показателей поставлены следующие задачи:</w:t>
      </w:r>
    </w:p>
    <w:p>
      <w:pPr>
        <w:spacing w:after="120"/>
        <w:jc w:val="both"/>
      </w:pPr>
      <w:r>
        <w:rPr>
          <w:rFonts w:ascii="Arial" w:cs="Arial" w:eastAsia="Arial" w:hAnsi="Arial"/>
          <w:sz w:val="24"/>
          <w:szCs w:val="24"/>
        </w:rPr>
        <w:t xml:space="preserve">создание комфортных, конкурентных и побудительных условий для новых производств, проведение технологического перевооружения и модернизации основных фондов отрасли;</w:t>
      </w:r>
    </w:p>
    <w:p>
      <w:pPr>
        <w:spacing w:after="120"/>
        <w:jc w:val="both"/>
      </w:pPr>
      <w:r>
        <w:rPr>
          <w:rFonts w:ascii="Arial" w:cs="Arial" w:eastAsia="Arial" w:hAnsi="Arial"/>
          <w:sz w:val="24"/>
          <w:szCs w:val="24"/>
        </w:rPr>
        <w:t xml:space="preserve">защита предприятий отрасли, реализующих инвестиционные проекты и развивающих высокотехнологичные производства, от воздействия внешних экономических рисков;</w:t>
      </w:r>
    </w:p>
    <w:p>
      <w:pPr>
        <w:spacing w:after="120"/>
        <w:jc w:val="both"/>
      </w:pPr>
      <w:r>
        <w:rPr>
          <w:rFonts w:ascii="Arial" w:cs="Arial" w:eastAsia="Arial" w:hAnsi="Arial"/>
          <w:sz w:val="24"/>
          <w:szCs w:val="24"/>
        </w:rPr>
        <w:t xml:space="preserve">поддержка внедрения современных инновационных технологий с целью освоения производства новой инновационной продукции; мотивирование к снижению негативного воздействия на окружающую среду, в том числе путем внедрения наилучших доступных технологий; стимулирование внутреннего спроса на продукцию и создание новых рыночных ниш;</w:t>
      </w:r>
    </w:p>
    <w:p>
      <w:pPr>
        <w:spacing w:after="120"/>
        <w:jc w:val="both"/>
      </w:pPr>
      <w:r>
        <w:rPr>
          <w:rFonts w:ascii="Arial" w:cs="Arial" w:eastAsia="Arial" w:hAnsi="Arial"/>
          <w:sz w:val="24"/>
          <w:szCs w:val="24"/>
        </w:rPr>
        <w:t xml:space="preserve">рациональное размещение предприятий, обеспечивающих баланс спроса и предложения;</w:t>
      </w:r>
    </w:p>
    <w:p>
      <w:pPr>
        <w:spacing w:after="120"/>
        <w:jc w:val="both"/>
      </w:pPr>
      <w:r>
        <w:rPr>
          <w:rFonts w:ascii="Arial" w:cs="Arial" w:eastAsia="Arial" w:hAnsi="Arial"/>
          <w:sz w:val="24"/>
          <w:szCs w:val="24"/>
        </w:rPr>
        <w:t xml:space="preserve">проведение импортозамещения за счет развития отечественной производственной базы; укрепление кадрового потенциала и поддержка профильного образования;</w:t>
      </w:r>
    </w:p>
    <w:p>
      <w:pPr>
        <w:spacing w:after="120"/>
        <w:jc w:val="both"/>
      </w:pPr>
      <w:r>
        <w:rPr>
          <w:rFonts w:ascii="Arial" w:cs="Arial" w:eastAsia="Arial" w:hAnsi="Arial"/>
          <w:sz w:val="24"/>
          <w:szCs w:val="24"/>
        </w:rPr>
        <w:t xml:space="preserve">совершенствование технического регулирования и выработка мер поддержки экспортно ориентированных производств;</w:t>
      </w:r>
    </w:p>
    <w:p>
      <w:pPr>
        <w:spacing w:after="120"/>
        <w:jc w:val="both"/>
      </w:pPr>
      <w:r>
        <w:rPr>
          <w:rFonts w:ascii="Arial" w:cs="Arial" w:eastAsia="Arial" w:hAnsi="Arial"/>
          <w:sz w:val="24"/>
          <w:szCs w:val="24"/>
        </w:rPr>
        <w:t xml:space="preserve">повышение качества государственного регулирования при проведении промышленной политики.</w:t>
      </w:r>
    </w:p>
    <w:p>
      <w:pPr>
        <w:spacing w:after="120"/>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невыполнение заложенных ожидаемых объемов добычи на руднике Кумтор и сокращение производства на руднике Кумтор из-за техногенных факторов; необеспеченность сырьем введенных нефтеперерабатывающих предприятий; перебои в обеспечении источниками финансирования запланированных капитальных вложений в энергетике;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функционирования Кыргызской Республики в ЕАЭС и т.д.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2019 году развитие строительной отрасли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w:t>
      </w:r>
    </w:p>
    <w:p>
      <w:pPr>
        <w:spacing w:after="120"/>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2019 году прогнозируется увеличение капитальных вложений на 10,4 %, объемы составят 177,8 млрд сомов.</w:t>
      </w:r>
    </w:p>
    <w:p>
      <w:pPr>
        <w:spacing w:after="120"/>
        <w:jc w:val="right"/>
      </w:pPr>
      <w:r>
        <w:rPr>
          <w:rFonts w:ascii="Arial" w:cs="Arial" w:eastAsia="Arial" w:hAnsi="Arial"/>
          <w:sz w:val="24"/>
          <w:szCs w:val="24"/>
        </w:rPr>
        <w:t xml:space="preserve">Таблица 16</w:t>
      </w:r>
    </w:p>
    <w:p>
      <w:pPr>
        <w:spacing w:after="240" w:before="200"/>
        <w:jc w:val="center"/>
      </w:pPr>
      <w:r>
        <w:rPr>
          <w:rFonts w:ascii="Arial" w:cs="Arial" w:eastAsia="Arial" w:hAnsi="Arial"/>
          <w:b/>
          <w:bCs/>
          <w:sz w:val="32"/>
          <w:szCs w:val="32"/>
        </w:rPr>
        <w:t xml:space="preserve">Динамика темпов роста в строительной отрасли на 2018-2019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2"/>
        <w:gridCol w:w="1700"/>
        <w:gridCol w:w="1633"/>
        <w:gridCol w:w="1698"/>
        <w:gridCol w:w="1626"/>
      </w:tblGrid>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159328,4</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177825,8</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83943,2</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89732,2</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75385,2</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88093,6</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151760,1</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171227,3</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капитальных вложений относительно ожидаемых в 2018 году изменится в сторону снижения доли внутренних инвестиций с 52,7 % до 50,5 %, соответственно, и увеличения доли внешних инвестиций с 47,3 % до 49,5 %.</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составляющие 91,7 %.</w:t>
      </w:r>
    </w:p>
    <w:p>
      <w:pPr>
        <w:spacing w:after="120"/>
        <w:jc w:val="both"/>
      </w:pPr>
      <w:r>
        <w:rPr>
          <w:rFonts w:ascii="Arial" w:cs="Arial" w:eastAsia="Arial" w:hAnsi="Arial"/>
          <w:sz w:val="24"/>
          <w:szCs w:val="24"/>
        </w:rPr>
        <w:t xml:space="preserve">Приоритетными направлениями в строительстве в 2019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120"/>
        <w:jc w:val="both"/>
      </w:pPr>
      <w:r>
        <w:rPr>
          <w:rFonts w:ascii="Arial" w:cs="Arial" w:eastAsia="Arial" w:hAnsi="Arial"/>
          <w:sz w:val="24"/>
          <w:szCs w:val="24"/>
        </w:rPr>
        <w:t xml:space="preserve">Капитальные вложения за счет государственного бюджета в сумме 3000 млн сомов, которые в первую очередь будут направлены на завершение строительства объектов высокой строительной готовности, на реконструкцию объектов образования, пострадавших от стихийных бедствий, а также на аварийные объекты.</w:t>
      </w:r>
    </w:p>
    <w:p>
      <w:pPr>
        <w:spacing w:after="120"/>
        <w:jc w:val="both"/>
      </w:pPr>
      <w:r>
        <w:rPr>
          <w:rFonts w:ascii="Arial" w:cs="Arial" w:eastAsia="Arial" w:hAnsi="Arial"/>
          <w:sz w:val="24"/>
          <w:szCs w:val="24"/>
        </w:rPr>
        <w:t xml:space="preserve">При увеличении ресурсов капитальные вложения за счет государственного бюджета будут направлены на финансирование завершения строительства ранее начатых объектов образования, здравоохранения, культуры и спорта, будет продолжено финансирование строительства и развития социальной и инженерной инфраструктуры гор. Бишкек, также планируется в приоритетном порядке финансирование строительства автомобильных дорог стратегического значения и автодорог в приграничных районах республики. В соответствии с Государственной программой развития ирригации Кыргызской Республики на 2017-2026 годы (</w:t>
      </w:r>
      <w:hyperlink w:history="1" r:id="rId6zmw1pe1r5tgegatiram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2017 года № 440)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120"/>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40,2 млрд сомов сформированы за счет инвестиций:</w:t>
      </w:r>
    </w:p>
    <w:p>
      <w:pPr>
        <w:spacing w:after="120"/>
        <w:jc w:val="both"/>
      </w:pPr>
      <w:r>
        <w:rPr>
          <w:rFonts w:ascii="Arial" w:cs="Arial" w:eastAsia="Arial" w:hAnsi="Arial"/>
          <w:sz w:val="24"/>
          <w:szCs w:val="24"/>
        </w:rPr>
        <w:t xml:space="preserve">ЗАО «Кумтор Голд компани» (4963,0 млн сомов);</w:t>
      </w:r>
    </w:p>
    <w:p>
      <w:pPr>
        <w:spacing w:after="120"/>
        <w:jc w:val="both"/>
      </w:pPr>
      <w:r>
        <w:rPr>
          <w:rFonts w:ascii="Arial" w:cs="Arial" w:eastAsia="Arial" w:hAnsi="Arial"/>
          <w:sz w:val="24"/>
          <w:szCs w:val="24"/>
        </w:rPr>
        <w:t xml:space="preserve">ОАО «Кыргызалтын» (165,0 млн сомов);</w:t>
      </w:r>
    </w:p>
    <w:p>
      <w:pPr>
        <w:spacing w:after="120"/>
        <w:jc w:val="both"/>
      </w:pPr>
      <w:r>
        <w:rPr>
          <w:rFonts w:ascii="Arial" w:cs="Arial" w:eastAsia="Arial" w:hAnsi="Arial"/>
          <w:sz w:val="24"/>
          <w:szCs w:val="24"/>
        </w:rPr>
        <w:t xml:space="preserve">и др.</w:t>
      </w:r>
    </w:p>
    <w:p>
      <w:pPr>
        <w:spacing w:after="120"/>
        <w:jc w:val="both"/>
      </w:pPr>
      <w:r>
        <w:rPr>
          <w:rFonts w:ascii="Arial" w:cs="Arial" w:eastAsia="Arial" w:hAnsi="Arial"/>
          <w:sz w:val="24"/>
          <w:szCs w:val="24"/>
        </w:rPr>
        <w:t xml:space="preserve">В 2019 году будут реализованы крупные инвестиционные проекты в транспортной и энергетической отраслях, которые внесут основной вклад в развитие строительства.</w:t>
      </w:r>
    </w:p>
    <w:p>
      <w:pPr>
        <w:spacing w:after="120"/>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18 328,7 млн сомов (39,8 % от всех государственных инвестиций), которые ожидаются за счет: проектов «Улучшение коридора ЦАРЭС 3 (Центрально-Азиатское региональное экономическое сотрудничество)» (автодорога Бишкек-Ош, участок Бишкек-Кара-Балта) Фаза 4 (Азиатский банк развития, 1 577,6 млн сомов), «Улучшение дорожных путей сообщения в Центральной Азии» (Всемирный банк, дор. Ош-Худжант, 20,1 млн сомов), «Улучшение дорожных путей сообщения в Центральной Азии» (Всемирный банк, дор. Тюп-Кеген, 3 276,7 млн сомов), «Строительство альтернативной дороги «Север-Юг Фаза 1 и Фаза 2» (Китайская Народная Республика, 4 058,9 млн сомов), «Строительство альтернативной дороги «Север-Юг» км 159-183 (Исламский банк развития, Саудовский фонд развития, 975,5 млн сомов), «Проект пути соединения между транспортными коридорами ЦАРЭС 1 и ЦАРЭС 3 (Азиатский банк развития, 3 025,8 млн сомов), «Улучшение основных международных дорог» (Japan International Cooperation Agency, 3 187,7 млн сомов), «Улучшение автодороги Бишкек-Ош» Фаза 4» (Евразийский банк развития, 1 596,5 млн сомов), «Реабилитация автодороги Арал-Суусамыр» (Евразийский банк развития, 73,8 млн сомов), «Реабилитация автомобильной дороги Ош-Баткен-Исфана» км 75-108 (Исламский банк развития, 536,0 млн сомов) и других, которые в дальнейшем обеспечат растущие потребности в пассажирских и грузовых перевозках.</w:t>
      </w:r>
    </w:p>
    <w:p>
      <w:pPr>
        <w:spacing w:after="120"/>
        <w:jc w:val="both"/>
      </w:pPr>
      <w:r>
        <w:rPr>
          <w:rFonts w:ascii="Arial" w:cs="Arial" w:eastAsia="Arial" w:hAnsi="Arial"/>
          <w:sz w:val="24"/>
          <w:szCs w:val="24"/>
        </w:rPr>
        <w:t xml:space="preserve">В энергетической отрасли объемы финансирования предусмотрены в сумме 15 990,3 млн сомов (34,8 % от всех государственных инвестиций), которые ожидаются за счет реализации проектов: «Реабилитация сектора энергетики» (Азиатский банк развития, 1 247,8 млн сомов), «Реконструкция Атбашинской ГЭС» (Швейцария, 606,0 млн сомов), CASA-1000 (Всемирный банк, Европейский инвестиционный банк, Исламский банк развития, 10 184,4 млн сомов), «Повышение подотчетности и надежности электроснабжения» (Всемирный банк, 142,5 млн сомов), «Улучшение электроснабжения Аркинского массива Лейлекского района Баткенской области (Исламский банк развития, 400 млн сомов), «Ввод второго агрегата Камбаратинской ГЭС-2» (Евразийский фонд стабилизации и развития, Евразийский банк развития, 1431,7 млн сомов), «Вторая фаза реабилитации Токтогульской ГЭС» (Азиатский банк развития, Евразийский фонд стабилизации и развития, Евразийский банк развития, 1 498,1 млн сомов), «Третья фаза реабилитации Токтогульской ГЭС» (Азиатский банк развития, 295,2 млн сомов), «Реабилитация Уч-Курганской ГЭС» (Азиатский банк развития, 184,5 млн сомов) и других.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120"/>
        <w:jc w:val="both"/>
      </w:pPr>
      <w:r>
        <w:rPr>
          <w:rFonts w:ascii="Arial" w:cs="Arial" w:eastAsia="Arial" w:hAnsi="Arial"/>
          <w:sz w:val="24"/>
          <w:szCs w:val="24"/>
        </w:rPr>
        <w:t xml:space="preserve">Объемы прямых иностранных инвестиций в сумме 26,2 млрд сомов прогнозируются за счет капитальных вложений:</w:t>
      </w:r>
    </w:p>
    <w:p>
      <w:pPr>
        <w:spacing w:after="120"/>
        <w:jc w:val="both"/>
      </w:pPr>
      <w:r>
        <w:rPr>
          <w:rFonts w:ascii="Arial" w:cs="Arial" w:eastAsia="Arial" w:hAnsi="Arial"/>
          <w:sz w:val="24"/>
          <w:szCs w:val="24"/>
        </w:rPr>
        <w:t xml:space="preserve">- ОсОО «Каз Минералз Бозымчак» (1 175,0 млн сомов);</w:t>
      </w:r>
    </w:p>
    <w:p>
      <w:pPr>
        <w:spacing w:after="120"/>
        <w:jc w:val="both"/>
      </w:pPr>
      <w:r>
        <w:rPr>
          <w:rFonts w:ascii="Arial" w:cs="Arial" w:eastAsia="Arial" w:hAnsi="Arial"/>
          <w:sz w:val="24"/>
          <w:szCs w:val="24"/>
        </w:rPr>
        <w:t xml:space="preserve">- ОсОО «Алтынкен» (11,2 млн сомов);</w:t>
      </w:r>
    </w:p>
    <w:p>
      <w:pPr>
        <w:spacing w:after="120"/>
        <w:jc w:val="both"/>
      </w:pPr>
      <w:r>
        <w:rPr>
          <w:rFonts w:ascii="Arial" w:cs="Arial" w:eastAsia="Arial" w:hAnsi="Arial"/>
          <w:sz w:val="24"/>
          <w:szCs w:val="24"/>
        </w:rPr>
        <w:t xml:space="preserve">- ОсОО «Газпром Кыргызстан» (6242,3 млн сомов);</w:t>
      </w:r>
    </w:p>
    <w:p>
      <w:pPr>
        <w:spacing w:after="120"/>
        <w:jc w:val="both"/>
      </w:pPr>
      <w:r>
        <w:rPr>
          <w:rFonts w:ascii="Arial" w:cs="Arial" w:eastAsia="Arial" w:hAnsi="Arial"/>
          <w:sz w:val="24"/>
          <w:szCs w:val="24"/>
        </w:rPr>
        <w:t xml:space="preserve">- ОАО «Альянс Алтын» (4403,7 млн сомов) и др.</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2019 году прогнозируется на 11,6 % и составит 171,2 млрд сомов. Влияние строительной отрасли на темпы экономического роста будет положительным и составит 0,97 процентного пункта, удельный вес строительства в структуре производства ВВП – 8,7 %.</w:t>
      </w:r>
    </w:p>
    <w:p>
      <w:pPr>
        <w:spacing w:after="120"/>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(37,6 %), Чуйская (17,7 %), Джалал-Абадская (13,6 %) и Иссык-Кульская (13,1 %) области, суммарный вклад которых в развитие строительной отрасли составит 9,85 процентного пункта.</w:t>
      </w:r>
    </w:p>
    <w:p>
      <w:pPr>
        <w:spacing w:after="120"/>
        <w:jc w:val="both"/>
      </w:pPr>
      <w:r>
        <w:rPr>
          <w:rFonts w:ascii="Arial" w:cs="Arial" w:eastAsia="Arial" w:hAnsi="Arial"/>
          <w:sz w:val="24"/>
          <w:szCs w:val="24"/>
        </w:rPr>
        <w:t xml:space="preserve">При этом следует принять во внимание те факторы, которые влияют на развитие строительной отрасли экономики. Следует учесть, что основная часть притока денежных переводов приходит из Российской Федерации (более 90 %). В случае роста притока этих средств может произойти увеличение объемов строительной отрасли в регионах с большой долей мигрантов.</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в 2019 году и привести к недостижению прогнозируемых показателей:</w:t>
      </w:r>
    </w:p>
    <w:p>
      <w:pPr>
        <w:spacing w:after="120"/>
        <w:jc w:val="both"/>
      </w:pPr>
      <w:r>
        <w:rPr>
          <w:rFonts w:ascii="Arial" w:cs="Arial" w:eastAsia="Arial" w:hAnsi="Arial"/>
          <w:sz w:val="24"/>
          <w:szCs w:val="24"/>
        </w:rPr>
        <w:t xml:space="preserve">несвоевременное и в недостаточном объеме открытие финансирования запланированных объемов капитальных вложений;</w:t>
      </w:r>
    </w:p>
    <w:p>
      <w:pPr>
        <w:spacing w:after="120"/>
        <w:jc w:val="both"/>
      </w:pPr>
      <w:r>
        <w:rPr>
          <w:rFonts w:ascii="Arial" w:cs="Arial" w:eastAsia="Arial" w:hAnsi="Arial"/>
          <w:sz w:val="24"/>
          <w:szCs w:val="24"/>
        </w:rPr>
        <w:t xml:space="preserve">снижение капитальных вложений, финансируемых за счет средств населения, из-за ухудшения платежеспособности населения, вследствие чего уменьшение объемов жилищного строительства за счет средств населения;</w:t>
      </w:r>
    </w:p>
    <w:p>
      <w:pPr>
        <w:spacing w:after="120"/>
        <w:jc w:val="both"/>
      </w:pPr>
      <w:r>
        <w:rPr>
          <w:rFonts w:ascii="Arial" w:cs="Arial" w:eastAsia="Arial" w:hAnsi="Arial"/>
          <w:sz w:val="24"/>
          <w:szCs w:val="24"/>
        </w:rPr>
        <w:t xml:space="preserve">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120"/>
        <w:jc w:val="both"/>
      </w:pPr>
      <w:r>
        <w:rPr>
          <w:rFonts w:ascii="Arial" w:cs="Arial" w:eastAsia="Arial" w:hAnsi="Arial"/>
          <w:sz w:val="24"/>
          <w:szCs w:val="24"/>
        </w:rPr>
        <w:t xml:space="preserve">сокращение иностранных кредитов, иностранных грантов и гуманитарной помощи из-за возможных перебоев в финансировании части крупных инвестиционных проектов.</w:t>
      </w:r>
    </w:p>
    <w:p>
      <w:pPr>
        <w:spacing w:after="120"/>
        <w:jc w:val="both"/>
      </w:pPr>
      <w:r>
        <w:rPr>
          <w:rFonts w:ascii="Arial" w:cs="Arial" w:eastAsia="Arial" w:hAnsi="Arial"/>
          <w:sz w:val="24"/>
          <w:szCs w:val="24"/>
        </w:rPr>
        <w:t xml:space="preserve">Вышеизложенные предпосылки могут привести к:</w:t>
      </w:r>
    </w:p>
    <w:p>
      <w:pPr>
        <w:spacing w:after="120"/>
        <w:jc w:val="both"/>
      </w:pPr>
      <w:r>
        <w:rPr>
          <w:rFonts w:ascii="Arial" w:cs="Arial" w:eastAsia="Arial" w:hAnsi="Arial"/>
          <w:sz w:val="24"/>
          <w:szCs w:val="24"/>
        </w:rPr>
        <w:t xml:space="preserve">- снижению объемов производства;</w:t>
      </w:r>
    </w:p>
    <w:p>
      <w:pPr>
        <w:spacing w:after="120"/>
        <w:jc w:val="both"/>
      </w:pPr>
      <w:r>
        <w:rPr>
          <w:rFonts w:ascii="Arial" w:cs="Arial" w:eastAsia="Arial" w:hAnsi="Arial"/>
          <w:sz w:val="24"/>
          <w:szCs w:val="24"/>
        </w:rPr>
        <w:t xml:space="preserve">- снижению инвестиций в основной капитал;</w:t>
      </w:r>
    </w:p>
    <w:p>
      <w:pPr>
        <w:spacing w:after="120"/>
        <w:jc w:val="both"/>
      </w:pPr>
      <w:r>
        <w:rPr>
          <w:rFonts w:ascii="Arial" w:cs="Arial" w:eastAsia="Arial" w:hAnsi="Arial"/>
          <w:sz w:val="24"/>
          <w:szCs w:val="24"/>
        </w:rPr>
        <w:t xml:space="preserve">- приостановке строительства объектов;</w:t>
      </w:r>
    </w:p>
    <w:p>
      <w:pPr>
        <w:spacing w:after="120"/>
        <w:jc w:val="both"/>
      </w:pPr>
      <w:r>
        <w:rPr>
          <w:rFonts w:ascii="Arial" w:cs="Arial" w:eastAsia="Arial" w:hAnsi="Arial"/>
          <w:sz w:val="24"/>
          <w:szCs w:val="24"/>
        </w:rPr>
        <w:t xml:space="preserve">- несвоевременному вводу в эксплуатацию жилья;</w:t>
      </w:r>
    </w:p>
    <w:p>
      <w:pPr>
        <w:spacing w:after="120"/>
        <w:jc w:val="both"/>
      </w:pPr>
      <w:r>
        <w:rPr>
          <w:rFonts w:ascii="Arial" w:cs="Arial" w:eastAsia="Arial" w:hAnsi="Arial"/>
          <w:sz w:val="24"/>
          <w:szCs w:val="24"/>
        </w:rPr>
        <w:t xml:space="preserve">и т.д.</w:t>
      </w:r>
    </w:p>
    <w:p>
      <w:pPr>
        <w:spacing w:after="240" w:before="200"/>
        <w:jc w:val="center"/>
      </w:pPr>
      <w:r>
        <w:rPr>
          <w:rFonts w:ascii="Arial" w:cs="Arial" w:eastAsia="Arial" w:hAnsi="Arial"/>
          <w:b/>
          <w:bCs/>
          <w:sz w:val="32"/>
          <w:szCs w:val="32"/>
        </w:rPr>
        <w:t xml:space="preserve">Сфера услуг</w:t>
      </w:r>
    </w:p>
    <w:p>
      <w:pPr>
        <w:spacing w:after="120"/>
        <w:jc w:val="both"/>
      </w:pPr>
      <w:r>
        <w:rPr>
          <w:rFonts w:ascii="Arial" w:cs="Arial" w:eastAsia="Arial" w:hAnsi="Arial"/>
          <w:sz w:val="24"/>
          <w:szCs w:val="24"/>
        </w:rPr>
        <w:t xml:space="preserve">В 2019 году прогнозируется продолжение наметившегося роста показателей сферы услуг в 2018 году. Реальный валовый прирост сферы услуг в 2019 году составит 3,7 %.</w:t>
      </w:r>
    </w:p>
    <w:p>
      <w:pPr>
        <w:spacing w:after="120"/>
        <w:jc w:val="both"/>
      </w:pPr>
      <w:r>
        <w:rPr>
          <w:rFonts w:ascii="Arial" w:cs="Arial" w:eastAsia="Arial" w:hAnsi="Arial"/>
          <w:sz w:val="24"/>
          <w:szCs w:val="24"/>
        </w:rPr>
        <w:t xml:space="preserve">Динамика роста будет обеспечена за счет стабильного увеличения объемов частного и государственного потребления на 3,9 % и 1,2 % соответственно в 2019 году, увеличения реальных денежных доходов населения на 2,3 %. Улучшение показателей социально-экономического развития стран – основных торговых партнеров Кыргызской Республики, и, как следствие, стимулирование экспортных поставок республики в соседние страны, расширение экспортных рынков, а также продолжение политики государства по созданию благоприятных условий для развития предпринимательской деятельности позволят увеличить реальный прирост оптовой и розничной торговли, который прогнозируется на уровне 5,5 % в 2019 году.</w:t>
      </w:r>
    </w:p>
    <w:p>
      <w:pPr>
        <w:spacing w:after="120"/>
        <w:jc w:val="both"/>
      </w:pPr>
      <w:r>
        <w:rPr>
          <w:rFonts w:ascii="Arial" w:cs="Arial" w:eastAsia="Arial" w:hAnsi="Arial"/>
          <w:sz w:val="24"/>
          <w:szCs w:val="24"/>
        </w:rPr>
        <w:t xml:space="preserve">Одним из важных внешних факторов улучшения показателей сферы услуг является продолжение процесса интеграции в ЕАЭС, в части улучшения условий для отечественных грузоперевозчиков в оказании международных автотранспортных услуг, что позволит достичь реального роста транспортных услуг на 6,2 %. Развитие гражданской авиации будет обусловлено продолжением расширения географии полетов: открытие новых направлений, увеличение количества рейсов по существующим маршрутам. На железнодорожном транспорте на виду проблема износа железнодорожных путей (свыше 30 % рельсов, находящихся в эксплуатации, – пропустившие сверхнормативный тоннаж пути). Отрасль информации и связи представлена в основном услугами операторов сотовой связи. В последние годы наблюдается мировая тенденция замещения традиционных услуг связи. Пользователи услуг связи переходят на передачу данных по сети Интернет посредством различных интернет-приложений, что намного дешевле традиционных способов передачи данных (голосовая связь, sms-сообщения). Данная тенденция характерна и для Кыргызской Республики, что в последующем будет вынуждать операторов сотовой связи расширять спектр собственных услуг, внедрять инновации. Так, в 2019 году темп реального роста услуг информации и связи прогнозируется на уровне 100,0 %.</w:t>
      </w:r>
    </w:p>
    <w:p>
      <w:pPr>
        <w:spacing w:after="120"/>
        <w:jc w:val="both"/>
      </w:pPr>
      <w:r>
        <w:rPr>
          <w:rFonts w:ascii="Arial" w:cs="Arial" w:eastAsia="Arial" w:hAnsi="Arial"/>
          <w:sz w:val="24"/>
          <w:szCs w:val="24"/>
        </w:rPr>
        <w:t xml:space="preserve">Развитие туризма в рассматриваемом периоде будет осуществляться с учетом мировых тенденций и отечественных особенностей данной сферы. Положительные результаты в данной отрасли будут достигнуты путем своевременной и полной реализации мер, предусмотренных в Программе Правительства Кыргызской Республики по развитию сферы туризма до 2020 года (</w:t>
      </w:r>
      <w:hyperlink w:history="1" r:id="rId4cnqbunbd5peb5zwic1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2016 года № 192). Принимая во внимание быстрый и постоянный рост туризма, его ощутимое мультипликативное воздействие на другие отрасли экономики, благосостояние общества и окружающую среду, в данном стратегическом документе обоснованно показано, что туристическая отрасль должна стать одним из приоритетов национального уровня для развития страны. Результатом принятых и реализуемых мероприятий в туристической отрасли должно стать увеличение туристического потока в страну, увеличение объемов экспорта туристских услуг и, как следствие, увеличение добавленной стоимости в отрасли. Приоритетами развития отрасли туризма остаются:</w:t>
      </w:r>
    </w:p>
    <w:p>
      <w:pPr>
        <w:spacing w:after="120"/>
        <w:jc w:val="both"/>
      </w:pPr>
      <w:r>
        <w:rPr>
          <w:rFonts w:ascii="Arial" w:cs="Arial" w:eastAsia="Arial" w:hAnsi="Arial"/>
          <w:sz w:val="24"/>
          <w:szCs w:val="24"/>
        </w:rPr>
        <w:t xml:space="preserve">- улучшение туристической инфраструктуры;</w:t>
      </w:r>
    </w:p>
    <w:p>
      <w:pPr>
        <w:spacing w:after="120"/>
        <w:jc w:val="both"/>
      </w:pPr>
      <w:r>
        <w:rPr>
          <w:rFonts w:ascii="Arial" w:cs="Arial" w:eastAsia="Arial" w:hAnsi="Arial"/>
          <w:sz w:val="24"/>
          <w:szCs w:val="24"/>
        </w:rPr>
        <w:t xml:space="preserve">- повышение имиджа Кыргызстана на международной туристической арене путем проведения информационных кампаний;</w:t>
      </w:r>
    </w:p>
    <w:p>
      <w:pPr>
        <w:spacing w:after="120"/>
        <w:jc w:val="both"/>
      </w:pPr>
      <w:r>
        <w:rPr>
          <w:rFonts w:ascii="Arial" w:cs="Arial" w:eastAsia="Arial" w:hAnsi="Arial"/>
          <w:sz w:val="24"/>
          <w:szCs w:val="24"/>
        </w:rPr>
        <w:t xml:space="preserve">- повышение уровня системы комплексной безопасности туристов на территории Кыргызстана, в том числе санитарной и экологической;</w:t>
      </w:r>
    </w:p>
    <w:p>
      <w:pPr>
        <w:spacing w:after="120"/>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120"/>
        <w:jc w:val="both"/>
      </w:pPr>
      <w:r>
        <w:rPr>
          <w:rFonts w:ascii="Arial" w:cs="Arial" w:eastAsia="Arial" w:hAnsi="Arial"/>
          <w:sz w:val="24"/>
          <w:szCs w:val="24"/>
        </w:rPr>
        <w:t xml:space="preserve">- обеспечение охраны окружающей среды в интересах местного сообщества и субъектов туристической отрасли страны, с учетом оценки природной рекреационной емкости действующих и потенциальных туристско-рекреационных зон.</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сферы услуг в 2019 году и привести к невыполнению прогнозируемых показателей:</w:t>
      </w:r>
    </w:p>
    <w:p>
      <w:pPr>
        <w:spacing w:after="120"/>
        <w:jc w:val="both"/>
      </w:pPr>
      <w:r>
        <w:rPr>
          <w:rFonts w:ascii="Arial" w:cs="Arial" w:eastAsia="Arial" w:hAnsi="Arial"/>
          <w:sz w:val="24"/>
          <w:szCs w:val="24"/>
        </w:rPr>
        <w:t xml:space="preserve">- продолжение снижения темпов роста в отрасли связи ввиду роста цен на услуги сотовых операторов;</w:t>
      </w:r>
    </w:p>
    <w:p>
      <w:pPr>
        <w:spacing w:after="120"/>
        <w:jc w:val="both"/>
      </w:pPr>
      <w:r>
        <w:rPr>
          <w:rFonts w:ascii="Arial" w:cs="Arial" w:eastAsia="Arial" w:hAnsi="Arial"/>
          <w:sz w:val="24"/>
          <w:szCs w:val="24"/>
        </w:rPr>
        <w:t xml:space="preserve">- замедление темпов роста услуг транспортной деятельности из-за снижения показателей роста пассажирооборота на железнодорожном транспорте в случае отсутствия финансирования процесса реконструкции подвижного состава отечественных железных дорог;</w:t>
      </w:r>
    </w:p>
    <w:p>
      <w:pPr>
        <w:spacing w:after="120"/>
        <w:jc w:val="both"/>
      </w:pPr>
      <w:r>
        <w:rPr>
          <w:rFonts w:ascii="Arial" w:cs="Arial" w:eastAsia="Arial" w:hAnsi="Arial"/>
          <w:sz w:val="24"/>
          <w:szCs w:val="24"/>
        </w:rPr>
        <w:t xml:space="preserve">- присутствует риск незначительного замедления развития услуг гостиниц и ресторанов в случае недостаточной работы по подготовке, ремонту инфраструктуры горнолыжных баз республики, в том числе подъездных путей к ним, что может привести к более позднему открытию зимнего туристического сезона.</w:t>
      </w:r>
    </w:p>
    <w:p>
      <w:pPr>
        <w:spacing w:after="240" w:before="200"/>
        <w:jc w:val="center"/>
      </w:pPr>
      <w:r>
        <w:rPr>
          <w:rFonts w:ascii="Arial" w:cs="Arial" w:eastAsia="Arial" w:hAnsi="Arial"/>
          <w:b/>
          <w:bCs/>
          <w:sz w:val="32"/>
          <w:szCs w:val="32"/>
        </w:rPr>
        <w:t xml:space="preserve">Внешнеэкономическая деятельность</w:t>
      </w:r>
    </w:p>
    <w:p>
      <w:pPr>
        <w:spacing w:after="120"/>
        <w:jc w:val="both"/>
      </w:pPr>
      <w:r>
        <w:rPr>
          <w:rFonts w:ascii="Arial" w:cs="Arial" w:eastAsia="Arial" w:hAnsi="Arial"/>
          <w:sz w:val="24"/>
          <w:szCs w:val="24"/>
        </w:rPr>
        <w:t xml:space="preserve">Внешнеэкономическая деятельность в 2019 году будет направлена на создание благоприятных условий для роста и развития экспортного потенциала республики.</w:t>
      </w:r>
    </w:p>
    <w:p>
      <w:pPr>
        <w:spacing w:after="120"/>
        <w:jc w:val="both"/>
      </w:pPr>
      <w:r>
        <w:rPr>
          <w:rFonts w:ascii="Arial" w:cs="Arial" w:eastAsia="Arial" w:hAnsi="Arial"/>
          <w:sz w:val="24"/>
          <w:szCs w:val="24"/>
        </w:rPr>
        <w:t xml:space="preserve">Основным направлением деятельности будет создание благоприятных условий для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экспортно ориентированных предприятий.</w:t>
      </w:r>
    </w:p>
    <w:p>
      <w:pPr>
        <w:spacing w:after="120"/>
        <w:jc w:val="both"/>
      </w:pPr>
      <w:r>
        <w:rPr>
          <w:rFonts w:ascii="Arial" w:cs="Arial" w:eastAsia="Arial" w:hAnsi="Arial"/>
          <w:sz w:val="24"/>
          <w:szCs w:val="24"/>
        </w:rPr>
        <w:t xml:space="preserve">Также будут проводиться работы по сохранению и расширению экспорта кыргызской продукции в другие страны, в том числе в Республику Узбекистан, страны Персидского залива, Исламскую Республику Иран, Турецкую Республику, Исламскую Республику Афганистан.</w:t>
      </w:r>
    </w:p>
    <w:p>
      <w:pPr>
        <w:spacing w:after="120"/>
        <w:jc w:val="both"/>
      </w:pPr>
      <w:r>
        <w:rPr>
          <w:rFonts w:ascii="Arial" w:cs="Arial" w:eastAsia="Arial" w:hAnsi="Arial"/>
          <w:sz w:val="24"/>
          <w:szCs w:val="24"/>
        </w:rPr>
        <w:t xml:space="preserve">В ходе реализации данных работ будут предусмотрены меры по:</w:t>
      </w:r>
    </w:p>
    <w:p>
      <w:pPr>
        <w:spacing w:after="120"/>
        <w:jc w:val="both"/>
      </w:pPr>
      <w:r>
        <w:rPr>
          <w:rFonts w:ascii="Arial" w:cs="Arial" w:eastAsia="Arial" w:hAnsi="Arial"/>
          <w:sz w:val="24"/>
          <w:szCs w:val="24"/>
        </w:rPr>
        <w:t xml:space="preserve">- укреплению и расширению позиций на рынках России и Казахстана за счет использования сравнительных преимуществ, возможностей ЕАЭС, наращивания объемов производства и повышения качества;</w:t>
      </w:r>
    </w:p>
    <w:p>
      <w:pPr>
        <w:spacing w:after="120"/>
        <w:jc w:val="both"/>
      </w:pPr>
      <w:r>
        <w:rPr>
          <w:rFonts w:ascii="Arial" w:cs="Arial" w:eastAsia="Arial" w:hAnsi="Arial"/>
          <w:sz w:val="24"/>
          <w:szCs w:val="24"/>
        </w:rPr>
        <w:t xml:space="preserve">- созданию системы информационного сопровождения экспорта;</w:t>
      </w:r>
    </w:p>
    <w:p>
      <w:pPr>
        <w:spacing w:after="120"/>
        <w:jc w:val="both"/>
      </w:pPr>
      <w:r>
        <w:rPr>
          <w:rFonts w:ascii="Arial" w:cs="Arial" w:eastAsia="Arial" w:hAnsi="Arial"/>
          <w:sz w:val="24"/>
          <w:szCs w:val="24"/>
        </w:rPr>
        <w:t xml:space="preserve">- обеспечению эффективного функционирования системы государственной поддержки экспортеров, соответствующей правилам ВТО, касающимся справедливой конкуренции;</w:t>
      </w:r>
    </w:p>
    <w:p>
      <w:pPr>
        <w:spacing w:after="120"/>
        <w:jc w:val="both"/>
      </w:pPr>
      <w:r>
        <w:rPr>
          <w:rFonts w:ascii="Arial" w:cs="Arial" w:eastAsia="Arial" w:hAnsi="Arial"/>
          <w:sz w:val="24"/>
          <w:szCs w:val="24"/>
        </w:rPr>
        <w:t xml:space="preserve">- обеспечению дальнейшего развития и создания эффективной транспортно-складской логистики, состоящей из ряда ключевых звеньев: эффективного земельного управления (под склады, ТЛЦ); транспортной логистики (автодороги, железнодорожные пути, воздушные пути); наличия транзитных и финальных складов; системы страхования экспорта;</w:t>
      </w:r>
    </w:p>
    <w:p>
      <w:pPr>
        <w:spacing w:after="120"/>
        <w:jc w:val="both"/>
      </w:pPr>
      <w:r>
        <w:rPr>
          <w:rFonts w:ascii="Arial" w:cs="Arial" w:eastAsia="Arial" w:hAnsi="Arial"/>
          <w:sz w:val="24"/>
          <w:szCs w:val="24"/>
        </w:rPr>
        <w:t xml:space="preserve">- обеспечению поддержки в продвижении отечественной продукции на внешних рынках.</w:t>
      </w:r>
    </w:p>
    <w:p>
      <w:pPr>
        <w:spacing w:after="120"/>
        <w:jc w:val="both"/>
      </w:pPr>
      <w:r>
        <w:rPr>
          <w:rFonts w:ascii="Arial" w:cs="Arial" w:eastAsia="Arial" w:hAnsi="Arial"/>
          <w:sz w:val="24"/>
          <w:szCs w:val="24"/>
        </w:rPr>
        <w:t xml:space="preserve">Объем внешнеторгового оборота прогнозируется на уровне 7,2 млрд долл. США, с номинальным превышением уровня 2018 года на 4,6 %.</w:t>
      </w:r>
    </w:p>
    <w:p>
      <w:pPr>
        <w:spacing w:after="120"/>
        <w:jc w:val="both"/>
      </w:pPr>
      <w:r>
        <w:rPr>
          <w:rFonts w:ascii="Arial" w:cs="Arial" w:eastAsia="Arial" w:hAnsi="Arial"/>
          <w:sz w:val="24"/>
          <w:szCs w:val="24"/>
        </w:rPr>
        <w:t xml:space="preserve">Прогнозируются номинальный объем экспортных поставок до 2,0 млрд долл. США и темп роста на уровне 5,3 %, за счет увеличения поставок цемента на 4,9 %, предметов одежды и одежных принадлежностей – на 8,0 % и др.</w:t>
      </w:r>
    </w:p>
    <w:p>
      <w:pPr>
        <w:spacing w:after="120"/>
        <w:jc w:val="both"/>
      </w:pPr>
      <w:r>
        <w:rPr>
          <w:rFonts w:ascii="Arial" w:cs="Arial" w:eastAsia="Arial" w:hAnsi="Arial"/>
          <w:sz w:val="24"/>
          <w:szCs w:val="24"/>
        </w:rPr>
        <w:t xml:space="preserve">Объем импорта прогнозируется в размере 5,2 млрд долл. США и номинальный рост составит 104,4 %, который будет определяться ростом потребительского спроса, связанным с увеличением объемов поставок природного газа на 19 %, нефтепродуктов – на 7,3 %, промежуточных товаров, а также потребительских товаров.</w:t>
      </w:r>
    </w:p>
    <w:p>
      <w:pPr>
        <w:spacing w:after="120"/>
        <w:jc w:val="both"/>
      </w:pPr>
      <w:r>
        <w:rPr>
          <w:rFonts w:ascii="Arial" w:cs="Arial" w:eastAsia="Arial" w:hAnsi="Arial"/>
          <w:sz w:val="24"/>
          <w:szCs w:val="24"/>
        </w:rPr>
        <w:t xml:space="preserve">В результате отрицательное сальдо экспорта и импорта товаров прогнозируется на уровне 3,2 млрд долл.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увеличится на 0,2 п.п. по сравнению с 2018 годом и составит (-) 31,5 % в 2019 году.</w:t>
      </w:r>
    </w:p>
    <w:p>
      <w:pPr>
        <w:spacing w:after="120"/>
        <w:jc w:val="right"/>
      </w:pPr>
      <w:r>
        <w:rPr>
          <w:rFonts w:ascii="Arial" w:cs="Arial" w:eastAsia="Arial" w:hAnsi="Arial"/>
          <w:sz w:val="24"/>
          <w:szCs w:val="24"/>
        </w:rPr>
        <w:t xml:space="preserve">Таблица 17</w:t>
      </w:r>
    </w:p>
    <w:p>
      <w:pPr>
        <w:spacing w:after="240" w:before="200"/>
        <w:jc w:val="center"/>
      </w:pPr>
      <w:r>
        <w:rPr>
          <w:rFonts w:ascii="Arial" w:cs="Arial" w:eastAsia="Arial" w:hAnsi="Arial"/>
          <w:b/>
          <w:bCs/>
          <w:sz w:val="32"/>
          <w:szCs w:val="32"/>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7"/>
        <w:gridCol w:w="2185"/>
        <w:gridCol w:w="2166"/>
      </w:tblGrid>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80,2</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33,4</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проекты государственных инвестиций (внешние)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66,8</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 товаров и услуг</w:t>
            </w:r>
          </w:p>
        </w:tc>
        <w:tc>
          <w:tcPr>
            <w:tcW w:type="dxa" w:w="21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w:t>
            </w:r>
          </w:p>
        </w:tc>
        <w:tc>
          <w:tcPr>
            <w:tcW w:type="dxa" w:w="21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что в 2019 году доля частного потребления составит 80,2 % от объема ВВП, темп реального прироста сложится на уровне 3,9 %. Частные потребительские расходы будут подкреплены прогнозируемым номинальным ростом денежных доходов населения на 6,3 % за счет создания новых рабочих мест и ростом средней номинальной заработной платы на 6,0 %.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Социальная сфера</w:t>
      </w:r>
    </w:p>
    <w:p>
      <w:pPr>
        <w:spacing w:after="120"/>
        <w:jc w:val="both"/>
      </w:pPr>
      <w:r>
        <w:rPr>
          <w:rFonts w:ascii="Arial" w:cs="Arial" w:eastAsia="Arial" w:hAnsi="Arial"/>
          <w:sz w:val="24"/>
          <w:szCs w:val="24"/>
        </w:rPr>
        <w:t xml:space="preserve">Политика социального развития в 2019 году будет и дальше направлена на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120"/>
        <w:jc w:val="both"/>
      </w:pPr>
      <w:r>
        <w:rPr>
          <w:rFonts w:ascii="Arial" w:cs="Arial" w:eastAsia="Arial" w:hAnsi="Arial"/>
          <w:sz w:val="24"/>
          <w:szCs w:val="24"/>
        </w:rPr>
        <w:t xml:space="preserve">Основное внимание будет направлено на вопросы укрепления и развития института семьи, материнства, отцовства и детства, а также обеспечения минимального базового уровня социальной защиты, гарантированного государством.</w:t>
      </w:r>
    </w:p>
    <w:p>
      <w:pPr>
        <w:spacing w:after="120"/>
        <w:jc w:val="both"/>
      </w:pPr>
      <w:r>
        <w:rPr>
          <w:rFonts w:ascii="Arial" w:cs="Arial" w:eastAsia="Arial" w:hAnsi="Arial"/>
          <w:sz w:val="24"/>
          <w:szCs w:val="24"/>
        </w:rPr>
        <w:t xml:space="preserve">Будет продолжена работа по оказанию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 Также, усилия будут направлены на развитие и расширение рынка социальных услуг, путем внедрения новых механизмов, в том числе платных услуг, аутсорсинга, государственно-частного партнерства и т.д.</w:t>
      </w:r>
    </w:p>
    <w:p>
      <w:pPr>
        <w:spacing w:after="120"/>
        <w:jc w:val="both"/>
      </w:pPr>
      <w:r>
        <w:rPr>
          <w:rFonts w:ascii="Arial" w:cs="Arial" w:eastAsia="Arial" w:hAnsi="Arial"/>
          <w:sz w:val="24"/>
          <w:szCs w:val="24"/>
        </w:rPr>
        <w:t xml:space="preserve">Предлагаемые меры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120"/>
        <w:jc w:val="both"/>
      </w:pPr>
      <w:r>
        <w:rPr>
          <w:rFonts w:ascii="Arial" w:cs="Arial" w:eastAsia="Arial" w:hAnsi="Arial"/>
          <w:sz w:val="24"/>
          <w:szCs w:val="24"/>
        </w:rPr>
        <w:t xml:space="preserve">В сфере труда и содействия занятости населения в среднесрочной перспективе будет продолжена работа по оказанию содействия занятости населения и созданию условия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w:t>
      </w:r>
    </w:p>
    <w:p>
      <w:pPr>
        <w:spacing w:after="120"/>
        <w:jc w:val="both"/>
      </w:pPr>
      <w:r>
        <w:rPr>
          <w:rFonts w:ascii="Arial" w:cs="Arial" w:eastAsia="Arial" w:hAnsi="Arial"/>
          <w:sz w:val="24"/>
          <w:szCs w:val="24"/>
        </w:rPr>
        <w:t xml:space="preserve">Основные приоритетные направления деятельности в сфере содействия занятости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(далее – Программа-2020).</w:t>
      </w:r>
    </w:p>
    <w:p>
      <w:pPr>
        <w:spacing w:after="120"/>
        <w:jc w:val="both"/>
      </w:pPr>
      <w:r>
        <w:rPr>
          <w:rFonts w:ascii="Arial" w:cs="Arial" w:eastAsia="Arial" w:hAnsi="Arial"/>
          <w:sz w:val="24"/>
          <w:szCs w:val="24"/>
        </w:rPr>
        <w:t xml:space="preserve">Основными целями Программы-2020 являются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Кыргызстана, осуществляющих трудовую деятельность за рубежом.</w:t>
      </w:r>
    </w:p>
    <w:p>
      <w:pPr>
        <w:spacing w:after="120"/>
        <w:jc w:val="both"/>
      </w:pPr>
      <w:r>
        <w:rPr>
          <w:rFonts w:ascii="Arial" w:cs="Arial" w:eastAsia="Arial" w:hAnsi="Arial"/>
          <w:sz w:val="24"/>
          <w:szCs w:val="24"/>
        </w:rPr>
        <w:t xml:space="preserve">Вышеуказанные цели будут достигнуты в результате реализации конкретных задач по основным направлениям:</w:t>
      </w:r>
    </w:p>
    <w:p>
      <w:pPr>
        <w:spacing w:after="120"/>
        <w:jc w:val="both"/>
      </w:pPr>
      <w:r>
        <w:rPr>
          <w:rFonts w:ascii="Arial" w:cs="Arial" w:eastAsia="Arial" w:hAnsi="Arial"/>
          <w:sz w:val="24"/>
          <w:szCs w:val="24"/>
        </w:rPr>
        <w:t xml:space="preserve">- проведение анализа нормативных правовых актов в сфере труда и занятости на соответствие международным нормам;</w:t>
      </w:r>
    </w:p>
    <w:p>
      <w:pPr>
        <w:spacing w:after="120"/>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w:t>
      </w:r>
    </w:p>
    <w:p>
      <w:pPr>
        <w:spacing w:after="120"/>
        <w:jc w:val="both"/>
      </w:pPr>
      <w:r>
        <w:rPr>
          <w:rFonts w:ascii="Arial" w:cs="Arial" w:eastAsia="Arial" w:hAnsi="Arial"/>
          <w:sz w:val="24"/>
          <w:szCs w:val="24"/>
        </w:rPr>
        <w:t xml:space="preserve">- усиление активных мер содействия занятости на рынке труда;</w:t>
      </w:r>
    </w:p>
    <w:p>
      <w:pPr>
        <w:spacing w:after="120"/>
        <w:jc w:val="both"/>
      </w:pPr>
      <w:r>
        <w:rPr>
          <w:rFonts w:ascii="Arial" w:cs="Arial" w:eastAsia="Arial" w:hAnsi="Arial"/>
          <w:sz w:val="24"/>
          <w:szCs w:val="24"/>
        </w:rPr>
        <w:t xml:space="preserve">- совершенствование системы анализа и прогноза рынка труда;</w:t>
      </w:r>
    </w:p>
    <w:p>
      <w:pPr>
        <w:spacing w:after="120"/>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тяжелой жизненной ситуации, и обеспечение предоставления им качественных социальных услуг;</w:t>
      </w:r>
    </w:p>
    <w:p>
      <w:pPr>
        <w:spacing w:after="120"/>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лиц с ограниченными возможностями здоровья (ЛОВЗ), пожилых граждан и других маломобильных групп населения, в целях эффективной интеграции их в общество.</w:t>
      </w:r>
    </w:p>
    <w:p>
      <w:pPr>
        <w:spacing w:after="120"/>
        <w:jc w:val="both"/>
      </w:pPr>
      <w:r>
        <w:rPr>
          <w:rFonts w:ascii="Arial" w:cs="Arial" w:eastAsia="Arial" w:hAnsi="Arial"/>
          <w:sz w:val="24"/>
          <w:szCs w:val="24"/>
        </w:rPr>
        <w:t xml:space="preserve">В целях реформирования пенсионного обеспечения и предоставления адекватного достаточного пенсионного обеспечения и повышения стимулов для участия граждан ожидается дальнейшее совершенствование системы государственного пенсионного обеспечения:</w:t>
      </w:r>
    </w:p>
    <w:p>
      <w:pPr>
        <w:spacing w:after="120"/>
        <w:jc w:val="both"/>
      </w:pPr>
      <w:r>
        <w:rPr>
          <w:rFonts w:ascii="Arial" w:cs="Arial" w:eastAsia="Arial" w:hAnsi="Arial"/>
          <w:sz w:val="24"/>
          <w:szCs w:val="24"/>
        </w:rPr>
        <w:t xml:space="preserve">- будет рассмотрена возможность пересмотра льгот по ставкам тарифов страховых взносов для индивидуальных предпринимателей и крестьянских фермерских хозяйств;</w:t>
      </w:r>
    </w:p>
    <w:p>
      <w:pPr>
        <w:spacing w:after="120"/>
        <w:jc w:val="both"/>
      </w:pPr>
      <w:r>
        <w:rPr>
          <w:rFonts w:ascii="Arial" w:cs="Arial" w:eastAsia="Arial" w:hAnsi="Arial"/>
          <w:sz w:val="24"/>
          <w:szCs w:val="24"/>
        </w:rPr>
        <w:t xml:space="preserve">- поэтапное введение минимального страхового стажа для получения права на пенсию от 5 до 20 лет, с каждым годом необходимый минимальный стаж будет поэтапно увеличиваться на один год в течение пятнадцати лет. Граждане получат право на пенсию при условии работы минимум 20 лет;</w:t>
      </w:r>
    </w:p>
    <w:p>
      <w:pPr>
        <w:spacing w:after="120"/>
        <w:jc w:val="both"/>
      </w:pPr>
      <w:r>
        <w:rPr>
          <w:rFonts w:ascii="Arial" w:cs="Arial" w:eastAsia="Arial" w:hAnsi="Arial"/>
          <w:sz w:val="24"/>
          <w:szCs w:val="24"/>
        </w:rPr>
        <w:t xml:space="preserve">- отмена досрочной пенсии, с уменьшением размера, также позволит мотивировать дольше работать и рассчитывать на больший размер пенсии.</w:t>
      </w:r>
    </w:p>
    <w:p>
      <w:pPr>
        <w:spacing w:after="120"/>
        <w:jc w:val="both"/>
      </w:pPr>
      <w:r>
        <w:rPr>
          <w:rFonts w:ascii="Arial" w:cs="Arial" w:eastAsia="Arial" w:hAnsi="Arial"/>
          <w:sz w:val="24"/>
          <w:szCs w:val="24"/>
        </w:rPr>
        <w:t xml:space="preserve">При этом достигается внедрение механизмов вовлеченности и причастности застрахованных к пенсионной системе, что может обеспечить более активное их участие в ее финансировании, стимулирование занятости, что в последующем будет гарантировать достойную пенсию;</w:t>
      </w:r>
    </w:p>
    <w:p>
      <w:pPr>
        <w:spacing w:after="120"/>
        <w:jc w:val="both"/>
      </w:pPr>
      <w:r>
        <w:rPr>
          <w:rFonts w:ascii="Arial" w:cs="Arial" w:eastAsia="Arial" w:hAnsi="Arial"/>
          <w:sz w:val="24"/>
          <w:szCs w:val="24"/>
        </w:rPr>
        <w:t xml:space="preserve">- индексация страховых частей пенсий будет производиться в зависимости от роста индекса потребительских цен и среднемесячной заработной платы, с учетом финансовых возможностей Социального фонда и др.</w:t>
      </w:r>
    </w:p>
    <w:p>
      <w:pPr>
        <w:spacing w:after="120"/>
        <w:jc w:val="both"/>
      </w:pPr>
      <w:r>
        <w:rPr>
          <w:rFonts w:ascii="Arial" w:cs="Arial" w:eastAsia="Arial" w:hAnsi="Arial"/>
          <w:sz w:val="24"/>
          <w:szCs w:val="24"/>
        </w:rPr>
        <w:t xml:space="preserve">Вышеуказанные меры позволят достичь справедливости пенсионных выплат в зависимости от продолжительности финансового участия человека в пенсионной системе и оптимизации доли социальных трансфертов из республиканского бюджета.</w:t>
      </w:r>
    </w:p>
    <w:p>
      <w:pPr>
        <w:spacing w:after="120"/>
        <w:jc w:val="both"/>
      </w:pPr>
      <w:r>
        <w:rPr>
          <w:rFonts w:ascii="Arial" w:cs="Arial" w:eastAsia="Arial" w:hAnsi="Arial"/>
          <w:sz w:val="24"/>
          <w:szCs w:val="24"/>
        </w:rPr>
        <w:t xml:space="preserve">Также предусматривается совершенствование инвестиционной политики, в целях предупреждения возможной зависимости от одного инструмента, путем внедрения в структуру инвестиционного портфеля альтернативных инструментов инвестирования. Кроме того, планируется совершенствование механизма выплаты средств пенсионных накоплений.</w:t>
      </w:r>
    </w:p>
    <w:p>
      <w:pPr>
        <w:spacing w:after="120"/>
        <w:jc w:val="both"/>
      </w:pPr>
      <w:r>
        <w:rPr>
          <w:rFonts w:ascii="Arial" w:cs="Arial" w:eastAsia="Arial" w:hAnsi="Arial"/>
          <w:sz w:val="24"/>
          <w:szCs w:val="24"/>
        </w:rPr>
        <w:t xml:space="preserve">Для преодоления существующих вызовов в системе здравоохранения сегодня необходимы общегосударственный подход и интеграция вопросов здравоохранения в программные документы других секторов, оказывающих влияние на состояние здоровья и доступность услуг, таких как социальная защита, образование, сельское хозяйство и водоснабжение, экономическое регулирование, местное самоуправление и другие. В связи с этим утверждена Стратегия охраны и укрепления здоровья населения Кыргызской Республики до 2020 года («Здоровье-2020») (постановление Правительства Кыргызской Республики от 4 июня 2014 года № 306).</w:t>
      </w:r>
    </w:p>
    <w:p>
      <w:pPr>
        <w:spacing w:after="120"/>
        <w:jc w:val="both"/>
      </w:pPr>
      <w:r>
        <w:rPr>
          <w:rFonts w:ascii="Arial" w:cs="Arial" w:eastAsia="Arial" w:hAnsi="Arial"/>
          <w:sz w:val="24"/>
          <w:szCs w:val="24"/>
        </w:rPr>
        <w:t xml:space="preserve">Основными задачами в данном стратегическом документе являются:</w:t>
      </w:r>
    </w:p>
    <w:p>
      <w:pPr>
        <w:spacing w:after="120"/>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120"/>
        <w:jc w:val="both"/>
      </w:pPr>
      <w:r>
        <w:rPr>
          <w:rFonts w:ascii="Arial" w:cs="Arial" w:eastAsia="Arial" w:hAnsi="Arial"/>
          <w:sz w:val="24"/>
          <w:szCs w:val="24"/>
        </w:rPr>
        <w:t xml:space="preserve">- удовлетворение потребностей социально уязвимых групп населения (несовершеннолетние, пожилые граждане, лица с ограниченными возможностями здоровья и другие);</w:t>
      </w:r>
    </w:p>
    <w:p>
      <w:pPr>
        <w:spacing w:after="120"/>
        <w:jc w:val="both"/>
      </w:pPr>
      <w:r>
        <w:rPr>
          <w:rFonts w:ascii="Arial" w:cs="Arial" w:eastAsia="Arial" w:hAnsi="Arial"/>
          <w:sz w:val="24"/>
          <w:szCs w:val="24"/>
        </w:rPr>
        <w:t xml:space="preserve">- вовлечение других секторов в вопросы охраны и укрепления здоровья населения;</w:t>
      </w:r>
    </w:p>
    <w:p>
      <w:pPr>
        <w:spacing w:after="120"/>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120"/>
        <w:jc w:val="both"/>
      </w:pPr>
      <w:r>
        <w:rPr>
          <w:rFonts w:ascii="Arial" w:cs="Arial" w:eastAsia="Arial" w:hAnsi="Arial"/>
          <w:sz w:val="24"/>
          <w:szCs w:val="24"/>
        </w:rPr>
        <w:t xml:space="preserve">- усиление роли первичной медико-санитарной помощи и обеспечение профилактической направленности медицинской помощи;</w:t>
      </w:r>
    </w:p>
    <w:p>
      <w:pPr>
        <w:spacing w:after="120"/>
        <w:jc w:val="both"/>
      </w:pPr>
      <w:r>
        <w:rPr>
          <w:rFonts w:ascii="Arial" w:cs="Arial" w:eastAsia="Arial" w:hAnsi="Arial"/>
          <w:sz w:val="24"/>
          <w:szCs w:val="24"/>
        </w:rPr>
        <w:t xml:space="preserve">- повышение роли общественного здравоохранения с акцентом на потребности населения;</w:t>
      </w:r>
    </w:p>
    <w:p>
      <w:pPr>
        <w:spacing w:after="120"/>
        <w:jc w:val="both"/>
      </w:pPr>
      <w:r>
        <w:rPr>
          <w:rFonts w:ascii="Arial" w:cs="Arial" w:eastAsia="Arial" w:hAnsi="Arial"/>
          <w:sz w:val="24"/>
          <w:szCs w:val="24"/>
        </w:rPr>
        <w:t xml:space="preserve">- продолжение работы по созданию Единой базы лекарств и медицинских препаратов.</w:t>
      </w:r>
    </w:p>
    <w:p>
      <w:pPr>
        <w:spacing w:after="120"/>
        <w:jc w:val="both"/>
      </w:pPr>
      <w:r>
        <w:rPr>
          <w:rFonts w:ascii="Arial" w:cs="Arial" w:eastAsia="Arial" w:hAnsi="Arial"/>
          <w:sz w:val="24"/>
          <w:szCs w:val="24"/>
        </w:rPr>
        <w:t xml:space="preserve">- Основное внимание в сфере образования будет направлено на выполнение следующих задач:</w:t>
      </w:r>
    </w:p>
    <w:p>
      <w:pPr>
        <w:spacing w:after="120"/>
        <w:jc w:val="both"/>
      </w:pPr>
      <w:r>
        <w:rPr>
          <w:rFonts w:ascii="Arial" w:cs="Arial" w:eastAsia="Arial" w:hAnsi="Arial"/>
          <w:sz w:val="24"/>
          <w:szCs w:val="24"/>
        </w:rPr>
        <w:t xml:space="preserve">- охват программами развития и обучения большинства детей предшкольного возраста;</w:t>
      </w:r>
    </w:p>
    <w:p>
      <w:pPr>
        <w:spacing w:after="120"/>
        <w:jc w:val="both"/>
      </w:pPr>
      <w:r>
        <w:rPr>
          <w:rFonts w:ascii="Arial" w:cs="Arial" w:eastAsia="Arial" w:hAnsi="Arial"/>
          <w:sz w:val="24"/>
          <w:szCs w:val="24"/>
        </w:rPr>
        <w:t xml:space="preserve">-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120"/>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120"/>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120"/>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120"/>
        <w:jc w:val="both"/>
      </w:pPr>
      <w:r>
        <w:rPr>
          <w:rFonts w:ascii="Arial" w:cs="Arial" w:eastAsia="Arial" w:hAnsi="Arial"/>
          <w:sz w:val="24"/>
          <w:szCs w:val="24"/>
        </w:rPr>
        <w:t xml:space="preserve">- развитие базы данных для информационного обеспечения образования и науки;</w:t>
      </w:r>
    </w:p>
    <w:p>
      <w:pPr>
        <w:spacing w:after="120"/>
        <w:jc w:val="both"/>
      </w:pPr>
      <w:r>
        <w:rPr>
          <w:rFonts w:ascii="Arial" w:cs="Arial" w:eastAsia="Arial" w:hAnsi="Arial"/>
          <w:sz w:val="24"/>
          <w:szCs w:val="24"/>
        </w:rPr>
        <w:t xml:space="preserve">- создание системы стратегического планирования и управления в сфере науки;</w:t>
      </w:r>
    </w:p>
    <w:p>
      <w:pPr>
        <w:spacing w:after="120"/>
        <w:jc w:val="both"/>
      </w:pPr>
      <w:r>
        <w:rPr>
          <w:rFonts w:ascii="Arial" w:cs="Arial" w:eastAsia="Arial" w:hAnsi="Arial"/>
          <w:sz w:val="24"/>
          <w:szCs w:val="24"/>
        </w:rPr>
        <w:t xml:space="preserve">- совершенствование законодательной и нормативной правовой базы науки;</w:t>
      </w:r>
    </w:p>
    <w:p>
      <w:pPr>
        <w:spacing w:after="120"/>
        <w:jc w:val="both"/>
      </w:pPr>
      <w:r>
        <w:rPr>
          <w:rFonts w:ascii="Arial" w:cs="Arial" w:eastAsia="Arial" w:hAnsi="Arial"/>
          <w:sz w:val="24"/>
          <w:szCs w:val="24"/>
        </w:rPr>
        <w:t xml:space="preserve">- развитие системы стратегического планирования и управления в секторе образования, основанной на технологиях сбора и анализа информации;</w:t>
      </w:r>
    </w:p>
    <w:p>
      <w:pPr>
        <w:spacing w:after="120"/>
        <w:jc w:val="both"/>
      </w:pPr>
      <w:r>
        <w:rPr>
          <w:rFonts w:ascii="Arial" w:cs="Arial" w:eastAsia="Arial" w:hAnsi="Arial"/>
          <w:sz w:val="24"/>
          <w:szCs w:val="24"/>
        </w:rPr>
        <w:t xml:space="preserve">- внедрение системы мониторинга и качества образования.</w:t>
      </w:r>
    </w:p>
    <w:p>
      <w:pPr>
        <w:spacing w:after="120"/>
        <w:jc w:val="both"/>
      </w:pPr>
      <w:r>
        <w:rPr>
          <w:rFonts w:ascii="Arial" w:cs="Arial" w:eastAsia="Arial" w:hAnsi="Arial"/>
          <w:sz w:val="24"/>
          <w:szCs w:val="24"/>
        </w:rPr>
        <w:t xml:space="preserve">Основополагающей целью государственной миграционной политики Кыргызской Республики является эффективное управление миграционными процессами в целях устойчивого развития государства. В связи с этим выделены следующие приоритетные направления:</w:t>
      </w:r>
    </w:p>
    <w:p>
      <w:pPr>
        <w:spacing w:after="120"/>
        <w:jc w:val="both"/>
      </w:pPr>
      <w:r>
        <w:rPr>
          <w:rFonts w:ascii="Arial" w:cs="Arial" w:eastAsia="Arial" w:hAnsi="Arial"/>
          <w:sz w:val="24"/>
          <w:szCs w:val="24"/>
        </w:rPr>
        <w:t xml:space="preserve">- внутренняя миграция. Разработка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В процессе временного или постоянного перемещения внутренние мигранты должны быть обеспечены доступом к базовым социальным гарантиям, в том числе на получение бесплатного школьного образования, неотложной медицинской помощи, государственных услуг в сфере занятости и миграции;</w:t>
      </w:r>
    </w:p>
    <w:p>
      <w:pPr>
        <w:spacing w:after="120"/>
        <w:jc w:val="both"/>
      </w:pPr>
      <w:r>
        <w:rPr>
          <w:rFonts w:ascii="Arial" w:cs="Arial" w:eastAsia="Arial" w:hAnsi="Arial"/>
          <w:sz w:val="24"/>
          <w:szCs w:val="24"/>
        </w:rPr>
        <w:t xml:space="preserve">- трудовая миграция за границу. Проведение комплексной работы по оказанию помощи трудящимся-мигрантам до их отъезда из страны, во время пребывания за границей и по их возвращении. Государственное регулирование трудовой миграции путем маркетинга рабочей силы должно быть ориентировано на обеспечение рациональной занятости и снижение безработицы. В современных условиях для Кыргызской Республики становится актуальным единый рынок труда ЕАЭС;</w:t>
      </w:r>
    </w:p>
    <w:p>
      <w:pPr>
        <w:spacing w:after="120"/>
        <w:jc w:val="both"/>
      </w:pPr>
      <w:r>
        <w:rPr>
          <w:rFonts w:ascii="Arial" w:cs="Arial" w:eastAsia="Arial" w:hAnsi="Arial"/>
          <w:sz w:val="24"/>
          <w:szCs w:val="24"/>
        </w:rPr>
        <w:t xml:space="preserve">- проведение работы по предупреждению населения о возможных рисках незаконной миграции;</w:t>
      </w:r>
    </w:p>
    <w:p>
      <w:pPr>
        <w:spacing w:after="120"/>
        <w:jc w:val="both"/>
      </w:pPr>
      <w:r>
        <w:rPr>
          <w:rFonts w:ascii="Arial" w:cs="Arial" w:eastAsia="Arial" w:hAnsi="Arial"/>
          <w:sz w:val="24"/>
          <w:szCs w:val="24"/>
        </w:rPr>
        <w:t xml:space="preserve">- иммиграция. Организация процесса добровольного переселения кайрылманов в Кыргызскую Республику должна быть основана на принципах содействия социально-экономическому развитию регионов и решению демографических проблем, в первую очередь на территориях приоритетного заселения, за счет привлечения переселенцев на постоянное место жительства в Кыргызскую Республику;</w:t>
      </w:r>
    </w:p>
    <w:p>
      <w:pPr>
        <w:spacing w:after="120"/>
        <w:jc w:val="both"/>
      </w:pPr>
      <w:r>
        <w:rPr>
          <w:rFonts w:ascii="Arial" w:cs="Arial" w:eastAsia="Arial" w:hAnsi="Arial"/>
          <w:sz w:val="24"/>
          <w:szCs w:val="24"/>
        </w:rPr>
        <w:t xml:space="preserve">- поддержка соотечественников. Для предоставления бывшим гражданам Кыргызской Республики (официально оформившим выход из гражданства Кыргызской Республики) преференциальных условий на территории Кыргызской Республики предлагается разработать национальную инициативу «Мекен-карт» как часть системной и последовательной государственной политики. В рамках данной национальной инициативы ввести в оборот специальную карту, которая будет выдаваться гражданам, оформившим процедуру выхода из гражданства Кыргызской Республики.</w:t>
      </w:r>
    </w:p>
    <w:p>
      <w:pPr>
        <w:spacing w:after="120"/>
        <w:jc w:val="both"/>
      </w:pPr>
      <w:r>
        <w:rPr>
          <w:rFonts w:ascii="Arial" w:cs="Arial" w:eastAsia="Arial" w:hAnsi="Arial"/>
          <w:sz w:val="24"/>
          <w:szCs w:val="24"/>
        </w:rPr>
        <w:t xml:space="preserve">Основные приоритетные направления в сфере молодежной политики, физической культуры и спорта определены в Программе Правительства Кыргызской Республики «Развитие молодежной политики на 2017-2020 годы» (Программа «Развитие молодежи») (постановление Правительства Кыргызской Республики от 10 августа 2017 года № 471) и Программе Правительства Кыргызской Республики «Спортивный Кыргызстан» на 2018-2022 годы (Программа «Спортивный Кыргызстан») (</w:t>
      </w:r>
      <w:hyperlink w:history="1" r:id="rIdjmwr5i147ak1rgevric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сентября 2017 года № 600).</w:t>
      </w:r>
    </w:p>
    <w:p>
      <w:pPr>
        <w:spacing w:after="120"/>
        <w:jc w:val="both"/>
      </w:pPr>
      <w:r>
        <w:rPr>
          <w:rFonts w:ascii="Arial" w:cs="Arial" w:eastAsia="Arial" w:hAnsi="Arial"/>
          <w:sz w:val="24"/>
          <w:szCs w:val="24"/>
        </w:rPr>
        <w:t xml:space="preserve">Целью Программы «Развитие молодежи» является создание к концу 2020 года нормативных правовых, инфраструктурных условий и поддержание инклюзивной общественной среды для самореализации молодежи, формирование нового поколения граждан, ответственно участвующих в устойчивом развитии страны и конкурентоспособных в политической, экономической, социальной и культурной сферах.</w:t>
      </w:r>
    </w:p>
    <w:p>
      <w:pPr>
        <w:spacing w:after="120"/>
        <w:jc w:val="both"/>
      </w:pPr>
      <w:r>
        <w:rPr>
          <w:rFonts w:ascii="Arial" w:cs="Arial" w:eastAsia="Arial" w:hAnsi="Arial"/>
          <w:sz w:val="24"/>
          <w:szCs w:val="24"/>
        </w:rPr>
        <w:t xml:space="preserve">Основными целями Программы «Спортивный Кыргызстан» являются повышение уровня массовости занятий физической активностью и спортом населения до 25 % к 2022 году,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предстоящих Азиатских играх 2018 и 2022 годов, повышение уровня вовлеченности населения в национальные виды спорта, создание условий для особых категорий граждан и расширение их вовлеченности в физическую активность.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Макроэкономический прогноз на 2020-2021 годы</w:t>
      </w:r>
    </w:p>
    <w:p>
      <w:pPr>
        <w:spacing w:after="120"/>
        <w:jc w:val="both"/>
      </w:pPr>
      <w:r>
        <w:rPr>
          <w:rFonts w:ascii="Arial" w:cs="Arial" w:eastAsia="Arial" w:hAnsi="Arial"/>
          <w:sz w:val="24"/>
          <w:szCs w:val="24"/>
        </w:rPr>
        <w:t xml:space="preserve">В 2020-2021 годы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w:t>
      </w:r>
    </w:p>
    <w:p>
      <w:pPr>
        <w:spacing w:after="120"/>
        <w:jc w:val="both"/>
      </w:pPr>
      <w:r>
        <w:rPr>
          <w:rFonts w:ascii="Arial" w:cs="Arial" w:eastAsia="Arial" w:hAnsi="Arial"/>
          <w:sz w:val="24"/>
          <w:szCs w:val="24"/>
        </w:rPr>
        <w:t xml:space="preserve">Оценка прогнозных значений макроэкономических показателей на 2020-2021 годы основана на полной, успешной и своевременной реализации мер и инвестиционных проектов, заложенных в Программе развития Кыргызской Республики на период 2018-2022 годов «Единство. Доверие. Созидание», и их эффективном влиянии на экономику страны, где экономические преобразования позволят обеспечить ежегодный темп роста ВВП не менее 4 %,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предсказуемости и стабильности законодательства.</w:t>
      </w:r>
    </w:p>
    <w:p>
      <w:pPr>
        <w:spacing w:after="120"/>
        <w:jc w:val="right"/>
      </w:pPr>
      <w:r>
        <w:rPr>
          <w:rFonts w:ascii="Arial" w:cs="Arial" w:eastAsia="Arial" w:hAnsi="Arial"/>
          <w:sz w:val="24"/>
          <w:szCs w:val="24"/>
        </w:rPr>
        <w:t xml:space="preserve">Таблица 18</w:t>
      </w:r>
    </w:p>
    <w:p>
      <w:pPr>
        <w:spacing w:after="240" w:before="200"/>
        <w:jc w:val="center"/>
      </w:pPr>
      <w:r>
        <w:rPr>
          <w:rFonts w:ascii="Arial" w:cs="Arial" w:eastAsia="Arial" w:hAnsi="Arial"/>
          <w:b/>
          <w:bCs/>
          <w:sz w:val="32"/>
          <w:szCs w:val="32"/>
        </w:rPr>
        <w:t xml:space="preserve">Реальные вклады отраслей производства ВВП на 2020-2021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9"/>
        <w:gridCol w:w="1136"/>
        <w:gridCol w:w="1135"/>
        <w:gridCol w:w="1430"/>
        <w:gridCol w:w="1314"/>
        <w:gridCol w:w="1274"/>
      </w:tblGrid>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0,72</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0,38</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0,78</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0,57</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2018 году и прогнозируемых показателей на 2019 год, среднегодовой реальный прирост ВВП на 2020-2021 годы прогнозируется на уровне 4,3 %.</w:t>
      </w:r>
    </w:p>
    <w:p>
      <w:pPr>
        <w:spacing w:after="120"/>
        <w:jc w:val="both"/>
      </w:pPr>
      <w:r>
        <w:rPr>
          <w:rFonts w:ascii="Arial" w:cs="Arial" w:eastAsia="Arial" w:hAnsi="Arial"/>
          <w:sz w:val="24"/>
          <w:szCs w:val="24"/>
        </w:rPr>
        <w:t xml:space="preserve">В отраслевом разрезе в 2020-2021 годах прогнозируемые среднегодовые темпы прироста составят: в сельском хозяйстве – 3,2 %, в промышленности – 4,1 %, в строительстве – 8,9 %, в сфере предоставления услуг – 3,9 %.</w:t>
      </w:r>
    </w:p>
    <w:p>
      <w:pPr>
        <w:spacing w:after="120"/>
        <w:jc w:val="both"/>
      </w:pPr>
      <w:r>
        <w:rPr>
          <w:rFonts w:ascii="Arial" w:cs="Arial" w:eastAsia="Arial" w:hAnsi="Arial"/>
          <w:sz w:val="24"/>
          <w:szCs w:val="24"/>
        </w:rPr>
        <w:t xml:space="preserve">На 2020-2021 годы рост ВВП прогнозируется в основном за счет Чуйской, Джалал-Абадской, Иссык-Кульской, Ошской областей и гор. Бишкек.</w:t>
      </w:r>
    </w:p>
    <w:p>
      <w:pPr>
        <w:spacing w:after="120"/>
        <w:jc w:val="both"/>
      </w:pPr>
      <w:r>
        <w:rPr>
          <w:rFonts w:ascii="Arial" w:cs="Arial" w:eastAsia="Arial" w:hAnsi="Arial"/>
          <w:sz w:val="24"/>
          <w:szCs w:val="24"/>
        </w:rPr>
        <w:t xml:space="preserve">В целом на период 2020-2021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останутся достижение и поддержание стабильности цен.</w:t>
      </w:r>
    </w:p>
    <w:p>
      <w:pPr>
        <w:spacing w:after="120"/>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120"/>
        <w:jc w:val="both"/>
      </w:pPr>
      <w:r>
        <w:rPr>
          <w:rFonts w:ascii="Arial" w:cs="Arial" w:eastAsia="Arial" w:hAnsi="Arial"/>
          <w:sz w:val="24"/>
          <w:szCs w:val="24"/>
        </w:rPr>
        <w:t xml:space="preserve">Во всех отраслях экономики прогнозируются положительные темпы роста.</w:t>
      </w:r>
    </w:p>
    <w:p>
      <w:pPr>
        <w:spacing w:after="120"/>
        <w:jc w:val="both"/>
      </w:pPr>
      <w:r>
        <w:rPr>
          <w:rFonts w:ascii="Arial" w:cs="Arial" w:eastAsia="Arial" w:hAnsi="Arial"/>
          <w:sz w:val="24"/>
          <w:szCs w:val="24"/>
        </w:rPr>
        <w:t xml:space="preserve">В 2020-2021 годах прогнозируется увеличение реальных темпов роста сельского хозяйства в среднем на 3,2 %,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11,4 % в год. Будут реализованы намеченные мероприятия для достижения реальных темпов роста сельскохозяйственной отрасли:</w:t>
      </w:r>
    </w:p>
    <w:p>
      <w:pPr>
        <w:spacing w:after="120"/>
        <w:jc w:val="both"/>
      </w:pPr>
      <w:r>
        <w:rPr>
          <w:rFonts w:ascii="Arial" w:cs="Arial" w:eastAsia="Arial" w:hAnsi="Arial"/>
          <w:sz w:val="24"/>
          <w:szCs w:val="24"/>
        </w:rPr>
        <w:t xml:space="preserve">оптимизация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с учетом региональных особенностей и факторов по урожайности;</w:t>
      </w:r>
    </w:p>
    <w:p>
      <w:pPr>
        <w:spacing w:after="120"/>
        <w:jc w:val="both"/>
      </w:pPr>
      <w:r>
        <w:rPr>
          <w:rFonts w:ascii="Arial" w:cs="Arial" w:eastAsia="Arial" w:hAnsi="Arial"/>
          <w:sz w:val="24"/>
          <w:szCs w:val="24"/>
        </w:rPr>
        <w:t xml:space="preserve">активное использование систем капельного орошения;</w:t>
      </w:r>
    </w:p>
    <w:p>
      <w:pPr>
        <w:spacing w:after="120"/>
        <w:jc w:val="both"/>
      </w:pPr>
      <w:r>
        <w:rPr>
          <w:rFonts w:ascii="Arial" w:cs="Arial" w:eastAsia="Arial" w:hAnsi="Arial"/>
          <w:sz w:val="24"/>
          <w:szCs w:val="24"/>
        </w:rPr>
        <w:t xml:space="preserve">дальнейшее развитие тепличных хозяйств;</w:t>
      </w:r>
    </w:p>
    <w:p>
      <w:pPr>
        <w:spacing w:after="120"/>
        <w:jc w:val="both"/>
      </w:pPr>
      <w:r>
        <w:rPr>
          <w:rFonts w:ascii="Arial" w:cs="Arial" w:eastAsia="Arial" w:hAnsi="Arial"/>
          <w:sz w:val="24"/>
          <w:szCs w:val="24"/>
        </w:rPr>
        <w:t xml:space="preserve">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120"/>
        <w:jc w:val="both"/>
      </w:pPr>
      <w:r>
        <w:rPr>
          <w:rFonts w:ascii="Arial" w:cs="Arial" w:eastAsia="Arial" w:hAnsi="Arial"/>
          <w:sz w:val="24"/>
          <w:szCs w:val="24"/>
        </w:rPr>
        <w:t xml:space="preserve">продолжение поддержки сельхозпроизводителей со стороны государства по действующим кредитным и лизинговым программам;</w:t>
      </w:r>
    </w:p>
    <w:p>
      <w:pPr>
        <w:spacing w:after="120"/>
        <w:jc w:val="both"/>
      </w:pPr>
      <w:r>
        <w:rPr>
          <w:rFonts w:ascii="Arial" w:cs="Arial" w:eastAsia="Arial" w:hAnsi="Arial"/>
          <w:sz w:val="24"/>
          <w:szCs w:val="24"/>
        </w:rPr>
        <w:t xml:space="preserve">рациональное использование генофонда сельскохозяйственных животных и домашней птицы, повышение эффективности селекционно-племенной работы и пунктов искусственного осеменения животных, с использованием ценного генетического материала;</w:t>
      </w:r>
    </w:p>
    <w:p>
      <w:pPr>
        <w:spacing w:after="120"/>
        <w:jc w:val="both"/>
      </w:pPr>
      <w:r>
        <w:rPr>
          <w:rFonts w:ascii="Arial" w:cs="Arial" w:eastAsia="Arial" w:hAnsi="Arial"/>
          <w:sz w:val="24"/>
          <w:szCs w:val="24"/>
        </w:rPr>
        <w:t xml:space="preserve">увеличение объемов заготовки всех видов кормов;</w:t>
      </w:r>
    </w:p>
    <w:p>
      <w:pPr>
        <w:spacing w:after="120"/>
        <w:jc w:val="both"/>
      </w:pPr>
      <w:r>
        <w:rPr>
          <w:rFonts w:ascii="Arial" w:cs="Arial" w:eastAsia="Arial" w:hAnsi="Arial"/>
          <w:sz w:val="24"/>
          <w:szCs w:val="24"/>
        </w:rPr>
        <w:t xml:space="preserve">оптимизация производственных процессов и управления, сокращение энергетических и ресурсных затрат в сельском хозяйстве.</w:t>
      </w:r>
    </w:p>
    <w:p>
      <w:pPr>
        <w:spacing w:after="120"/>
        <w:jc w:val="both"/>
      </w:pPr>
      <w:r>
        <w:rPr>
          <w:rFonts w:ascii="Arial" w:cs="Arial" w:eastAsia="Arial" w:hAnsi="Arial"/>
          <w:sz w:val="24"/>
          <w:szCs w:val="24"/>
        </w:rPr>
        <w:t xml:space="preserve">В среднесрочном периоде прогнозируется увеличение посевных площадей: сахарной свеклы – с 18,8 тыс. га в 2019 году до 20,1 тыс. га к 2021 году, бахчевых культур – с 11,9 тыс. га до 12,5 тыс. га, картофеля – с 85,0 тыс. га до 89,0 тыс. га, масличных культур – с 31,5 тыс. га до 32,5 тыс. га, овощей – с 53,0 тыс. га до 55,0 тыс. га, что будет способствовать среднегодовому росту продукции растениеводства на уровне 3,1 %.</w:t>
      </w:r>
    </w:p>
    <w:p>
      <w:pPr>
        <w:spacing w:after="120"/>
        <w:jc w:val="both"/>
      </w:pPr>
      <w:r>
        <w:rPr>
          <w:rFonts w:ascii="Arial" w:cs="Arial" w:eastAsia="Arial" w:hAnsi="Arial"/>
          <w:sz w:val="24"/>
          <w:szCs w:val="24"/>
        </w:rPr>
        <w:t xml:space="preserve">Возможные риски, влияющие на показатель роста производства продукции сельского хозяйства:</w:t>
      </w:r>
    </w:p>
    <w:p>
      <w:pPr>
        <w:spacing w:after="120"/>
        <w:jc w:val="both"/>
      </w:pPr>
      <w:r>
        <w:rPr>
          <w:rFonts w:ascii="Arial" w:cs="Arial" w:eastAsia="Arial" w:hAnsi="Arial"/>
          <w:sz w:val="24"/>
          <w:szCs w:val="24"/>
        </w:rPr>
        <w:t xml:space="preserve">неблагоприятные природно-климатические условия (засуха, отсутствие полива, интенсивные и аномальные осадки, нехарактерные температуры);</w:t>
      </w:r>
    </w:p>
    <w:p>
      <w:pPr>
        <w:spacing w:after="120"/>
        <w:jc w:val="both"/>
      </w:pPr>
      <w:r>
        <w:rPr>
          <w:rFonts w:ascii="Arial" w:cs="Arial" w:eastAsia="Arial" w:hAnsi="Arial"/>
          <w:sz w:val="24"/>
          <w:szCs w:val="24"/>
        </w:rPr>
        <w:t xml:space="preserve">недостаточная кормозаготовка, качество и ценность кормов;</w:t>
      </w:r>
    </w:p>
    <w:p>
      <w:pPr>
        <w:spacing w:after="120"/>
        <w:jc w:val="both"/>
      </w:pPr>
      <w:r>
        <w:rPr>
          <w:rFonts w:ascii="Arial" w:cs="Arial" w:eastAsia="Arial" w:hAnsi="Arial"/>
          <w:sz w:val="24"/>
          <w:szCs w:val="24"/>
        </w:rPr>
        <w:t xml:space="preserve">возможная неблагоприятная эпизоотическая обстановка;</w:t>
      </w:r>
    </w:p>
    <w:p>
      <w:pPr>
        <w:spacing w:after="120"/>
        <w:jc w:val="both"/>
      </w:pPr>
      <w:r>
        <w:rPr>
          <w:rFonts w:ascii="Arial" w:cs="Arial" w:eastAsia="Arial" w:hAnsi="Arial"/>
          <w:sz w:val="24"/>
          <w:szCs w:val="24"/>
        </w:rPr>
        <w:t xml:space="preserve">неэффективное использование направляемых государством льготных кредитных ресурсов, нерациональное использование ресурсов и средств производства;</w:t>
      </w:r>
    </w:p>
    <w:p>
      <w:pPr>
        <w:spacing w:after="120"/>
        <w:jc w:val="both"/>
      </w:pPr>
      <w:r>
        <w:rPr>
          <w:rFonts w:ascii="Arial" w:cs="Arial" w:eastAsia="Arial" w:hAnsi="Arial"/>
          <w:sz w:val="24"/>
          <w:szCs w:val="24"/>
        </w:rPr>
        <w:t xml:space="preserve">недостаточная обеспеченность качественными семенами и племенным материалом, минеральными, азотными и органическими удобрениями;</w:t>
      </w:r>
    </w:p>
    <w:p>
      <w:pPr>
        <w:spacing w:after="120"/>
        <w:jc w:val="both"/>
      </w:pPr>
      <w:r>
        <w:rPr>
          <w:rFonts w:ascii="Arial" w:cs="Arial" w:eastAsia="Arial" w:hAnsi="Arial"/>
          <w:sz w:val="24"/>
          <w:szCs w:val="24"/>
        </w:rPr>
        <w:t xml:space="preserve">непредсказуемость цен на топливо и горюче-смазочные материалы, изменчивость конъюнктуры рынка сельскохозяйственной продукции.</w:t>
      </w:r>
    </w:p>
    <w:p>
      <w:pPr>
        <w:spacing w:after="120"/>
        <w:jc w:val="both"/>
      </w:pPr>
      <w:r>
        <w:rPr>
          <w:rFonts w:ascii="Arial" w:cs="Arial" w:eastAsia="Arial" w:hAnsi="Arial"/>
          <w:sz w:val="24"/>
          <w:szCs w:val="24"/>
        </w:rPr>
        <w:t xml:space="preserve">Прирост промышленного производства в 2020-2021 годах прогнозируется в среднем за год на уровне 4,1 %.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Жамгыр.</w:t>
      </w:r>
    </w:p>
    <w:p>
      <w:pPr>
        <w:spacing w:after="120"/>
        <w:jc w:val="both"/>
      </w:pPr>
      <w:r>
        <w:rPr>
          <w:rFonts w:ascii="Arial" w:cs="Arial" w:eastAsia="Arial" w:hAnsi="Arial"/>
          <w:sz w:val="24"/>
          <w:szCs w:val="24"/>
        </w:rPr>
        <w:t xml:space="preserve">На месторождении Кумтор прогнозируется увеличение объема производства основных металлов в 2020 году по сравнению с 2019 годом согласно производственному плану предприятия (523,0 тыс. унций в 2020 году против 504,0 тыс. унций в 2019 году) и уменьшение объемов в 2021 году до 517,0 тыс. унций.</w:t>
      </w:r>
    </w:p>
    <w:p>
      <w:pPr>
        <w:spacing w:after="120"/>
        <w:jc w:val="both"/>
      </w:pPr>
      <w:r>
        <w:rPr>
          <w:rFonts w:ascii="Arial" w:cs="Arial" w:eastAsia="Arial" w:hAnsi="Arial"/>
          <w:sz w:val="24"/>
          <w:szCs w:val="24"/>
        </w:rPr>
        <w:t xml:space="preserve">Ожидается наращивание объемов производства пищевых продуктов (включая напитки) на 7,5 % в среднем в год; прирост объемов текстильного производства; производства одежды и обуви, кожи и прочих кожаных изделий на 7,8 % в среднем в год; увеличение производства кокса и очищенных нефтепродуктов на 7,2 % в среднем в год; рост производства строительных материалов на 6,2 % в среднем в год.</w:t>
      </w:r>
    </w:p>
    <w:p>
      <w:pPr>
        <w:spacing w:after="120"/>
        <w:jc w:val="both"/>
      </w:pPr>
      <w:r>
        <w:rPr>
          <w:rFonts w:ascii="Arial" w:cs="Arial" w:eastAsia="Arial" w:hAnsi="Arial"/>
          <w:sz w:val="24"/>
          <w:szCs w:val="24"/>
        </w:rPr>
        <w:t xml:space="preserve">Прогнозируется увеличение объемов обеспечения электроэнергией, газом, паром и кондиционированным воздухом на 3,6 % в среднем в год. Выработка электроэнергии в 2021 году прогнозируется в объеме 16 468,0 млн кВтч, что больше на 921,8 млн кВтч по сравнению с 2019 годом, которая рассчитана с учетом среднемноголетней приточности р. Нарын в створе Токтогульского гидроузла.</w:t>
      </w:r>
    </w:p>
    <w:p>
      <w:pPr>
        <w:spacing w:after="120"/>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инвестиционная непривлекательность предприятий промышленной отрасли из-за непредсказуемости бизнес-среды; перебои в подаче электроэнергии; несвоевременный ввод запланированных месторождений, невыполнение заложенных ожидаемых объемов добычи на руднике Кумтор и сокращение производства на руднике Кумтор из-за техногенных факторов; необеспеченность сырьем введенных нефтеперерабатывающих предприятий; перебои в обеспечении источниками финансирования запланированных капитальных вложений в энергетике и т.д.</w:t>
      </w:r>
    </w:p>
    <w:p>
      <w:pPr>
        <w:spacing w:after="120"/>
        <w:jc w:val="both"/>
      </w:pPr>
      <w:r>
        <w:rPr>
          <w:rFonts w:ascii="Arial" w:cs="Arial" w:eastAsia="Arial" w:hAnsi="Arial"/>
          <w:sz w:val="24"/>
          <w:szCs w:val="24"/>
        </w:rPr>
        <w:t xml:space="preserve">В 2020-2021 годах приоритетными направлениями развития строительной отрасли будут:</w:t>
      </w:r>
    </w:p>
    <w:p>
      <w:pPr>
        <w:spacing w:after="120"/>
        <w:jc w:val="both"/>
      </w:pPr>
      <w:r>
        <w:rPr>
          <w:rFonts w:ascii="Arial" w:cs="Arial" w:eastAsia="Arial" w:hAnsi="Arial"/>
          <w:sz w:val="24"/>
          <w:szCs w:val="24"/>
        </w:rPr>
        <w:t xml:space="preserve">обустройство городских дорог и тротуаров путем строительства и реконструкции муниципальных автодорог, новых остановочных комплексов, обустройства конечных остановочных пунктов, возведения надземных пешеходных переходов с применением современных технологий;</w:t>
      </w:r>
    </w:p>
    <w:p>
      <w:pPr>
        <w:spacing w:after="120"/>
        <w:jc w:val="both"/>
      </w:pPr>
      <w:r>
        <w:rPr>
          <w:rFonts w:ascii="Arial" w:cs="Arial" w:eastAsia="Arial" w:hAnsi="Arial"/>
          <w:sz w:val="24"/>
          <w:szCs w:val="24"/>
        </w:rPr>
        <w:t xml:space="preserve">строительство, реконструкция и модернизация систем питьевого водоснабжения и водоотведения для повышения обеспеченности населения питьевой водой нормативного качества;</w:t>
      </w:r>
    </w:p>
    <w:p>
      <w:pPr>
        <w:spacing w:after="120"/>
        <w:jc w:val="both"/>
      </w:pPr>
      <w:r>
        <w:rPr>
          <w:rFonts w:ascii="Arial" w:cs="Arial" w:eastAsia="Arial" w:hAnsi="Arial"/>
          <w:sz w:val="24"/>
          <w:szCs w:val="24"/>
        </w:rPr>
        <w:t xml:space="preserve">развитие строительства логистических центров, хранилищ для сельскохозяйственной продукции;</w:t>
      </w:r>
    </w:p>
    <w:p>
      <w:pPr>
        <w:spacing w:after="120"/>
        <w:jc w:val="both"/>
      </w:pPr>
      <w:r>
        <w:rPr>
          <w:rFonts w:ascii="Arial" w:cs="Arial" w:eastAsia="Arial" w:hAnsi="Arial"/>
          <w:sz w:val="24"/>
          <w:szCs w:val="24"/>
        </w:rPr>
        <w:t xml:space="preserve">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120"/>
        <w:jc w:val="both"/>
      </w:pPr>
      <w:r>
        <w:rPr>
          <w:rFonts w:ascii="Arial" w:cs="Arial" w:eastAsia="Arial" w:hAnsi="Arial"/>
          <w:sz w:val="24"/>
          <w:szCs w:val="24"/>
        </w:rPr>
        <w:t xml:space="preserve">завершение строительства и оснащение всех пунктов пропуска по стандартам ЕАЭС;</w:t>
      </w:r>
    </w:p>
    <w:p>
      <w:pPr>
        <w:spacing w:after="120"/>
        <w:jc w:val="both"/>
      </w:pPr>
      <w:r>
        <w:rPr>
          <w:rFonts w:ascii="Arial" w:cs="Arial" w:eastAsia="Arial" w:hAnsi="Arial"/>
          <w:sz w:val="24"/>
          <w:szCs w:val="24"/>
        </w:rPr>
        <w:t xml:space="preserve">пересмотр механизмов реализации программы «Доступное жилье», включая вопрос о снижении процентных ставок до приемлемого уровня;</w:t>
      </w:r>
    </w:p>
    <w:p>
      <w:pPr>
        <w:spacing w:after="120"/>
        <w:jc w:val="both"/>
      </w:pPr>
      <w:r>
        <w:rPr>
          <w:rFonts w:ascii="Arial" w:cs="Arial" w:eastAsia="Arial" w:hAnsi="Arial"/>
          <w:sz w:val="24"/>
          <w:szCs w:val="24"/>
        </w:rPr>
        <w:t xml:space="preserve">переход на новые архитектурно-строительные системы, типы зданий и современные технологии возведения;</w:t>
      </w:r>
    </w:p>
    <w:p>
      <w:pPr>
        <w:spacing w:after="120"/>
        <w:jc w:val="both"/>
      </w:pPr>
      <w:r>
        <w:rPr>
          <w:rFonts w:ascii="Arial" w:cs="Arial" w:eastAsia="Arial" w:hAnsi="Arial"/>
          <w:sz w:val="24"/>
          <w:szCs w:val="24"/>
        </w:rPr>
        <w:t xml:space="preserve">обеспечение потребности капитального строительства и эксплуатационных нужд в качественных видах строительных материалов;</w:t>
      </w:r>
    </w:p>
    <w:p>
      <w:pPr>
        <w:spacing w:after="120"/>
        <w:jc w:val="both"/>
      </w:pPr>
      <w:r>
        <w:rPr>
          <w:rFonts w:ascii="Arial" w:cs="Arial" w:eastAsia="Arial" w:hAnsi="Arial"/>
          <w:sz w:val="24"/>
          <w:szCs w:val="24"/>
        </w:rPr>
        <w:t xml:space="preserve">производство новых стройматериалов, отвечающих международным требованиям.</w:t>
      </w:r>
    </w:p>
    <w:p>
      <w:pPr>
        <w:spacing w:after="120"/>
        <w:jc w:val="both"/>
      </w:pPr>
      <w:r>
        <w:rPr>
          <w:rFonts w:ascii="Arial" w:cs="Arial" w:eastAsia="Arial" w:hAnsi="Arial"/>
          <w:sz w:val="24"/>
          <w:szCs w:val="24"/>
        </w:rPr>
        <w:t xml:space="preserve">В 2020-2021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и объектов энергетики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2020-2021 годах возрастет в среднем на 11,4 % (со 199,8 млрд сомов в 2020 году до 226,0 млрд сомов в 2021 году). Структура капитальных вложений, относительно прогнозируемой в 2019 году, изменится в сторону увеличения доли внутренних инвестиций до 52,4 % общего объема капитальных вложений в 2021 году и, соответственно, снижения доли внешних инвестиций до 47,6 %, что связано с тем, что за указанный период капитальные вложения предприятий и организаций будут увеличиваться с улучшением инвестиционного климата в стране, а также увеличением капитализации средств населения.</w:t>
      </w:r>
    </w:p>
    <w:p>
      <w:pPr>
        <w:spacing w:after="120"/>
        <w:jc w:val="both"/>
      </w:pPr>
      <w:r>
        <w:rPr>
          <w:rFonts w:ascii="Arial" w:cs="Arial" w:eastAsia="Arial" w:hAnsi="Arial"/>
          <w:sz w:val="24"/>
          <w:szCs w:val="24"/>
        </w:rPr>
        <w:t xml:space="preserve">В строительной отрасли прогнозируется темп реального прироста на уровне 8,9 % в среднем за год. Влияние строительной отрасли на темпы экономического роста будет положительным и составит в среднем 0,78 процентного пункта.</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в 2020-2021 годах и привести к недостижению прогнозируемых показателей:</w:t>
      </w:r>
    </w:p>
    <w:p>
      <w:pPr>
        <w:spacing w:after="120"/>
        <w:jc w:val="both"/>
      </w:pPr>
      <w:r>
        <w:rPr>
          <w:rFonts w:ascii="Arial" w:cs="Arial" w:eastAsia="Arial" w:hAnsi="Arial"/>
          <w:sz w:val="24"/>
          <w:szCs w:val="24"/>
        </w:rPr>
        <w:t xml:space="preserve">несвоевременное и в недостаточном объеме открытие финансирования запланированных объемов капитальных вложений;</w:t>
      </w:r>
    </w:p>
    <w:p>
      <w:pPr>
        <w:spacing w:after="120"/>
        <w:jc w:val="both"/>
      </w:pPr>
      <w:r>
        <w:rPr>
          <w:rFonts w:ascii="Arial" w:cs="Arial" w:eastAsia="Arial" w:hAnsi="Arial"/>
          <w:sz w:val="24"/>
          <w:szCs w:val="24"/>
        </w:rPr>
        <w:t xml:space="preserve">снижение капитальных вложений, финансируемых за счет средств населения, из-за ухудшения платежеспособности населения, вследствие чего уменьшение объемов жилищного строительства за счет средств населения;</w:t>
      </w:r>
    </w:p>
    <w:p>
      <w:pPr>
        <w:spacing w:after="120"/>
        <w:jc w:val="both"/>
      </w:pPr>
      <w:r>
        <w:rPr>
          <w:rFonts w:ascii="Arial" w:cs="Arial" w:eastAsia="Arial" w:hAnsi="Arial"/>
          <w:sz w:val="24"/>
          <w:szCs w:val="24"/>
        </w:rPr>
        <w:t xml:space="preserve">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120"/>
        <w:jc w:val="both"/>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В 2020-2021 годах реализация мероприятий, предусмотренных в Программе развития Кыргызской Республики на период 2018-2022 годов «Единство. Доверие. Созидание», позволит ускорить принятие решений, которые будут способствовать развитию торговых отношений, а также других отраслей сферы услуг (информация и связь, транспорт и т.д.). Так реальный прирост сферы услуг в 2020-2021 годах прогнозируется в среднем на уровне 3,9 % в год. Реальный прирост оптовой и розничной торговли в год в рассматриваемый период – в среднем 5,6 % в год, услуг транспортной деятельности – в среднем 6,0 % в год, услуг информации и связи – в среднем 1,7 % в год.</w:t>
      </w:r>
    </w:p>
    <w:p>
      <w:pPr>
        <w:spacing w:after="120"/>
        <w:jc w:val="both"/>
      </w:pPr>
      <w:r>
        <w:rPr>
          <w:rFonts w:ascii="Arial" w:cs="Arial" w:eastAsia="Arial" w:hAnsi="Arial"/>
          <w:sz w:val="24"/>
          <w:szCs w:val="24"/>
        </w:rPr>
        <w:t xml:space="preserve">В сфере туризма будет продолжена работа по реализации мероприятий Программы Правительства Кыргызской Республики по развитию сферы туризма до 2020 года. Основные меры будут направлены на повышение узнаваемости Кыргызстана как страны туризма на традиционных и потенциальных туристских рынках, улучшение туристской инфраструктуры, инновационное развитие туристских услуг, повышение уровня предоставления услуг в регионах, а также охрану окружающей среды.</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сферы услуг в 2020-2021 годах и привести к невыполнению прогнозируемых показателей:</w:t>
      </w:r>
    </w:p>
    <w:p>
      <w:pPr>
        <w:spacing w:after="120"/>
        <w:jc w:val="both"/>
      </w:pPr>
      <w:r>
        <w:rPr>
          <w:rFonts w:ascii="Arial" w:cs="Arial" w:eastAsia="Arial" w:hAnsi="Arial"/>
          <w:sz w:val="24"/>
          <w:szCs w:val="24"/>
        </w:rPr>
        <w:t xml:space="preserve">замедление темпов роста услуг транспортной деятельности из-за снижения показателей роста пассажирооборота на железнодорожном транспорте в случае отсутствия финансирования процесса реконструкции подвижного состава отечественных железных дорог;</w:t>
      </w:r>
    </w:p>
    <w:p>
      <w:pPr>
        <w:spacing w:after="120"/>
        <w:jc w:val="both"/>
      </w:pPr>
      <w:r>
        <w:rPr>
          <w:rFonts w:ascii="Arial" w:cs="Arial" w:eastAsia="Arial" w:hAnsi="Arial"/>
          <w:sz w:val="24"/>
          <w:szCs w:val="24"/>
        </w:rPr>
        <w:t xml:space="preserve">снижение темпов роста показателей отрасли связи ввиду сокращения доходов сотовых операторов (общемировая тенденция снижения доходов операторов телекоммуникационных услуг из-за стремительного замещения традиционных способов передачи данных (голосовая связь, sms-сообщения) интернет соединением и использованием различных веб-приложений и иных сервисов, что намного дешевле голосового трафика).</w:t>
      </w:r>
    </w:p>
    <w:p>
      <w:pPr>
        <w:spacing w:after="120"/>
        <w:jc w:val="both"/>
      </w:pPr>
      <w:r>
        <w:rPr>
          <w:rFonts w:ascii="Arial" w:cs="Arial" w:eastAsia="Arial" w:hAnsi="Arial"/>
          <w:sz w:val="24"/>
          <w:szCs w:val="24"/>
        </w:rPr>
        <w:t xml:space="preserve">Основными факторами, влияющими на развитие внешнеэкономической деятельности в 2020-2021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туристских.</w:t>
      </w:r>
    </w:p>
    <w:p>
      <w:pPr>
        <w:spacing w:after="120"/>
        <w:jc w:val="both"/>
      </w:pPr>
      <w:r>
        <w:rPr>
          <w:rFonts w:ascii="Arial" w:cs="Arial" w:eastAsia="Arial" w:hAnsi="Arial"/>
          <w:sz w:val="24"/>
          <w:szCs w:val="24"/>
        </w:rPr>
        <w:t xml:space="preserve">Также, в рамках ЕАЭС будет продолжена работа по расширению торгового сотрудничества с третьими странами, что обеспечит преференциальный доступ кыргызских товаров на внешние рынки. Для этого будет вестись работа по подписанию соглашений о создании зон свободной торговли, в том числе создании зон свободной торговли с Арабской Республикой Египет, Государством Израиль, Республикой Индия.</w:t>
      </w:r>
    </w:p>
    <w:p>
      <w:pPr>
        <w:spacing w:after="120"/>
        <w:jc w:val="both"/>
      </w:pPr>
      <w:r>
        <w:rPr>
          <w:rFonts w:ascii="Arial" w:cs="Arial" w:eastAsia="Arial" w:hAnsi="Arial"/>
          <w:sz w:val="24"/>
          <w:szCs w:val="24"/>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способствовать сдерживанию роста внутренних цен, обеспечивать фискальную функцию бюджета, сокращать прямые и косвенные издержки операторов внешнеэкономической деятельности.</w:t>
      </w:r>
    </w:p>
    <w:p>
      <w:pPr>
        <w:spacing w:after="120"/>
        <w:jc w:val="both"/>
      </w:pPr>
      <w:r>
        <w:rPr>
          <w:rFonts w:ascii="Arial" w:cs="Arial" w:eastAsia="Arial" w:hAnsi="Arial"/>
          <w:sz w:val="24"/>
          <w:szCs w:val="24"/>
        </w:rPr>
        <w:t xml:space="preserve">В данный период 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 С учетом сохраняющейся значительной импортозависимости в сегменте средств производства и потребительской продукции решение указанных задач возможно путем принятия мер по дальнейшей оптимизации уровня и структуры ввозных таможенных пошлин в отношении товаров инвестиционного спроса (машин, технологического оборудования), компонентов для производимой на территории государств-членов ЕАЭС продукции, в первую очередь в отношении товаров, аналоги которых не производятся в ЕАЭС или производятся в недостаточном для удовлетворения потребностей рынка количестве.</w:t>
      </w:r>
    </w:p>
    <w:p>
      <w:pPr>
        <w:spacing w:after="120"/>
        <w:jc w:val="both"/>
      </w:pPr>
      <w:r>
        <w:rPr>
          <w:rFonts w:ascii="Arial" w:cs="Arial" w:eastAsia="Arial" w:hAnsi="Arial"/>
          <w:sz w:val="24"/>
          <w:szCs w:val="24"/>
        </w:rPr>
        <w:t xml:space="preserve">Объем внешнеторгового оборота в 2020-2021 годах будет расти в среднем на 4,3 % ежегодно и в 2021 году достигнет уровня 7,6 млрд долл. США. Номинальный объем экспорта товаров в 2020-2021 годы в среднем составит 2,0–2,2 млрд долл. США, а импорта – 5,6 млрд долл. США. Как и прежде, основной статьей экспорта будет золото, которое занимает в структуре экспорта около 44 %. Рост экспорта золота будет обеспечен вводом в строй новых месторождений золота.</w:t>
      </w:r>
    </w:p>
    <w:p>
      <w:pPr>
        <w:spacing w:after="120"/>
        <w:jc w:val="both"/>
      </w:pPr>
      <w:r>
        <w:rPr>
          <w:rFonts w:ascii="Arial" w:cs="Arial" w:eastAsia="Arial" w:hAnsi="Arial"/>
          <w:sz w:val="24"/>
          <w:szCs w:val="24"/>
        </w:rPr>
        <w:t xml:space="preserve">В результате отрицательное сальдо торгового баланса составит 3,4 млрд долл. США в среднем в год в 2020-2021 годах.</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увеличится с (-) 31,5 % в 2019 году до (-) 32,0 % в 2021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240" w:before="200"/>
        <w:jc w:val="center"/>
      </w:pPr>
      <w:r>
        <w:rPr>
          <w:rFonts w:ascii="Arial" w:cs="Arial" w:eastAsia="Arial" w:hAnsi="Arial"/>
          <w:b/>
          <w:bCs/>
          <w:sz w:val="32"/>
          <w:szCs w:val="32"/>
        </w:rPr>
        <w:t xml:space="preserve">Использование ВВП в 2020-2021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9"/>
        <w:gridCol w:w="1804"/>
        <w:gridCol w:w="1804"/>
      </w:tblGrid>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Потребление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97,9</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98,2</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Частное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Государственное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Валовые инвестиции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Государственные инвестиции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из них: проекты государственных инвестиций (внешние)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Частные инвестиции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28,6</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Экспорт (товары и нефакторные услуги)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Импорт (товары и нефакторные услуги)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67,4</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Чистый экспорт</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социального развития в 2020-2021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120"/>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120"/>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120"/>
        <w:jc w:val="both"/>
      </w:pPr>
      <w:r>
        <w:rPr>
          <w:rFonts w:ascii="Arial" w:cs="Arial" w:eastAsia="Arial" w:hAnsi="Arial"/>
          <w:sz w:val="24"/>
          <w:szCs w:val="24"/>
        </w:rPr>
        <w:t xml:space="preserve">Политика в сфере пенсионного обеспечения также будет реализовываться в рамках Концепции развития системы пенсионного обеспечения Кыргызской Республики (</w:t>
      </w:r>
      <w:hyperlink w:history="1" r:id="rId-hmuk7s34hwzsk7ddyd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ноября 2014 года № 670).</w:t>
      </w:r>
    </w:p>
    <w:p>
      <w:pPr>
        <w:spacing w:after="120"/>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120"/>
        <w:jc w:val="both"/>
      </w:pPr>
      <w:r>
        <w:rPr>
          <w:rFonts w:ascii="Arial" w:cs="Arial" w:eastAsia="Arial" w:hAnsi="Arial"/>
          <w:sz w:val="24"/>
          <w:szCs w:val="24"/>
        </w:rPr>
        <w:t xml:space="preserve">От реализации реформ ожидаются формирование устойчивой государственной пенсионной системы и достижение предоставления качественных услуг, гарантия равных возможностей для граждан.</w:t>
      </w:r>
    </w:p>
    <w:p>
      <w:pPr>
        <w:spacing w:after="120"/>
        <w:jc w:val="both"/>
      </w:pPr>
      <w:r>
        <w:rPr>
          <w:rFonts w:ascii="Arial" w:cs="Arial" w:eastAsia="Arial" w:hAnsi="Arial"/>
          <w:sz w:val="24"/>
          <w:szCs w:val="24"/>
        </w:rPr>
        <w:t xml:space="preserve">Политика в сфере здравоохранения будет направлена на реализацию Плана мероприятий по реализации Стратегии охраны и укрепления здоровья населения Кыргызской Республики до 2020 года (</w:t>
      </w:r>
      <w:hyperlink w:history="1" r:id="rIderkemjisr9ay0x36hx1sp">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16 марта 2015 года № 100-р), внедрение Программы электронного здравоохранения Кыргызской Республики на 2016-2020 годы и создание Национальной базы данных лекарственных средств и изделий медицинского назначения (</w:t>
      </w:r>
      <w:hyperlink w:history="1" r:id="rIdnwlzvbak6vtjrxu5cub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марта 2016 года № 134).</w:t>
      </w:r>
    </w:p>
    <w:p>
      <w:pPr>
        <w:spacing w:after="120"/>
        <w:jc w:val="both"/>
      </w:pPr>
      <w:r>
        <w:rPr>
          <w:rFonts w:ascii="Arial" w:cs="Arial" w:eastAsia="Arial" w:hAnsi="Arial"/>
          <w:sz w:val="24"/>
          <w:szCs w:val="24"/>
        </w:rPr>
        <w:t xml:space="preserve">Основные направления в сфере развития образования и науки отражены в Концепции развития образования в Кыргызской Республике до 2020 года и Стратегии развития образования в Кыргызской Республике на 2012–2020 годы (</w:t>
      </w:r>
      <w:hyperlink w:history="1" r:id="rIdijylgbe9xyof94xvgzp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 2012 года № 201).</w:t>
      </w:r>
    </w:p>
    <w:p>
      <w:pPr>
        <w:spacing w:after="120"/>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2020-2021 годах будут складываться следующим образом.</w:t>
      </w:r>
    </w:p>
    <w:p>
      <w:pPr>
        <w:spacing w:after="120"/>
        <w:jc w:val="both"/>
      </w:pPr>
      <w:r>
        <w:rPr>
          <w:rFonts w:ascii="Arial" w:cs="Arial" w:eastAsia="Arial" w:hAnsi="Arial"/>
          <w:sz w:val="24"/>
          <w:szCs w:val="24"/>
        </w:rPr>
        <w:t xml:space="preserve">Реальный прирост денежных доходов населения в 2020-2021 годах прогнозируется в среднем на уровне 0,2 %. В структуре денежных доходов номинальный размер средней заработной платы возрастет в среднем на 6,2 % и составит в 2021 году 19 649,4 сома.</w:t>
      </w:r>
    </w:p>
    <w:p>
      <w:pPr>
        <w:spacing w:after="120"/>
        <w:jc w:val="both"/>
      </w:pPr>
      <w:r>
        <w:rPr>
          <w:rFonts w:ascii="Arial" w:cs="Arial" w:eastAsia="Arial" w:hAnsi="Arial"/>
          <w:sz w:val="24"/>
          <w:szCs w:val="24"/>
        </w:rPr>
        <w:t xml:space="preserve">С учетом роста денежных доходов населения прирост объема ВВП на душу населения в среднем в 2020-2021 годах составит 8,1 %.</w:t>
      </w:r>
    </w:p>
    <w:p>
      <w:pPr>
        <w:spacing w:after="120"/>
        <w:jc w:val="both"/>
      </w:pPr>
      <w:r>
        <w:rPr>
          <w:rFonts w:ascii="Arial" w:cs="Arial" w:eastAsia="Arial" w:hAnsi="Arial"/>
          <w:sz w:val="24"/>
          <w:szCs w:val="24"/>
        </w:rPr>
        <w:t xml:space="preserve">Размер прожиточного минимума (ПМ) увеличится с 5 219,2 сома в 2019 году до 5 864,3 сома к 2021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3,0 к 2021 году.</w:t>
      </w:r>
    </w:p>
    <w:p>
      <w:pPr>
        <w:spacing w:after="120"/>
        <w:jc w:val="both"/>
      </w:pPr>
      <w:r>
        <w:rPr>
          <w:rFonts w:ascii="Arial" w:cs="Arial" w:eastAsia="Arial" w:hAnsi="Arial"/>
          <w:sz w:val="24"/>
          <w:szCs w:val="24"/>
        </w:rPr>
        <w:t xml:space="preserve">Номинальный размер пенсии увеличится относительно 2019 года на 8 % и составит в 2021 году 6 305,0 сомов.</w:t>
      </w:r>
    </w:p>
    <w:p>
      <w:pPr>
        <w:spacing w:after="120"/>
        <w:jc w:val="both"/>
      </w:pPr>
      <w:r>
        <w:rPr>
          <w:rFonts w:ascii="Arial" w:cs="Arial" w:eastAsia="Arial" w:hAnsi="Arial"/>
          <w:sz w:val="24"/>
          <w:szCs w:val="24"/>
        </w:rPr>
        <w:t xml:space="preserve">Прогнозируемый уровень общей безработицы снизится и составит к 2021 году 6,6 % относительно 7,2 % фактически сложившегося уровня в 2016 году.</w:t>
      </w:r>
    </w:p>
    <w:p>
      <w:pPr>
        <w:spacing w:after="120"/>
        <w:jc w:val="both"/>
      </w:pPr>
      <w:r>
        <w:rPr>
          <w:rFonts w:ascii="Arial" w:cs="Arial" w:eastAsia="Arial" w:hAnsi="Arial"/>
          <w:sz w:val="24"/>
          <w:szCs w:val="24"/>
        </w:rPr>
        <w:t xml:space="preserve">Уровень бедности к 2021 году прогнозируется в размере 25,0 % и снизится на 0,6 процентного пункта по сравнению с фактически сложившимся в 2017 году.</w:t>
      </w:r>
    </w:p>
    <w:p>
      <w:pPr>
        <w:spacing w:after="240" w:before="200"/>
        <w:jc w:val="center"/>
      </w:pPr>
      <w:r>
        <w:rPr>
          <w:rFonts w:ascii="Arial" w:cs="Arial" w:eastAsia="Arial" w:hAnsi="Arial"/>
          <w:b/>
          <w:bCs/>
          <w:sz w:val="32"/>
          <w:szCs w:val="32"/>
        </w:rPr>
        <w:t xml:space="preserve">Заключение</w:t>
      </w:r>
    </w:p>
    <w:p>
      <w:pPr>
        <w:spacing w:after="120"/>
        <w:jc w:val="both"/>
      </w:pPr>
      <w:r>
        <w:rPr>
          <w:rFonts w:ascii="Arial" w:cs="Arial" w:eastAsia="Arial" w:hAnsi="Arial"/>
          <w:sz w:val="24"/>
          <w:szCs w:val="24"/>
        </w:rPr>
        <w:t xml:space="preserve">В среднесрочной перспективе на 2019-2021 годы экономический рост в среднем на 4,2 % в год будет обеспечиваться за счет:</w:t>
      </w:r>
    </w:p>
    <w:p>
      <w:pPr>
        <w:spacing w:after="120"/>
        <w:jc w:val="both"/>
      </w:pPr>
      <w:r>
        <w:rPr>
          <w:rFonts w:ascii="Arial" w:cs="Arial" w:eastAsia="Arial" w:hAnsi="Arial"/>
          <w:sz w:val="24"/>
          <w:szCs w:val="24"/>
        </w:rPr>
        <w:t xml:space="preserve">повышения конкурентоспособности национальной экономики через проведение кардинальных реформ для улучшения бизнес-среды;</w:t>
      </w:r>
    </w:p>
    <w:p>
      <w:pPr>
        <w:spacing w:after="120"/>
        <w:jc w:val="both"/>
      </w:pPr>
      <w:r>
        <w:rPr>
          <w:rFonts w:ascii="Arial" w:cs="Arial" w:eastAsia="Arial" w:hAnsi="Arial"/>
          <w:sz w:val="24"/>
          <w:szCs w:val="24"/>
        </w:rPr>
        <w:t xml:space="preserve">реализации бюджетной политики, оптимизации государственных расходов;</w:t>
      </w:r>
    </w:p>
    <w:p>
      <w:pPr>
        <w:spacing w:after="120"/>
        <w:jc w:val="both"/>
      </w:pPr>
      <w:r>
        <w:rPr>
          <w:rFonts w:ascii="Arial" w:cs="Arial" w:eastAsia="Arial" w:hAnsi="Arial"/>
          <w:sz w:val="24"/>
          <w:szCs w:val="24"/>
        </w:rPr>
        <w:t xml:space="preserve">построения прозрачной и эффективной системы исполнительной власти, свободной от влияния коррупции.</w:t>
      </w:r>
    </w:p>
    <w:p>
      <w:pPr>
        <w:spacing w:after="120"/>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отраслей реальной экономики, формирующих ВВП страны.</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120"/>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hyperlink w:history="1" r:id="rIdkrtox7ppbbou1pobqguql">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cb9wwxacxa4nqudqoc_tn">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настоящему Среднесрочному прогнозу социально-экономического развития Кыргызской Республики на 2019-2021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среднесрочному прогнозу</w:t>
      </w:r>
    </w:p>
    <w:p>
      <w:pPr>
        <w:spacing w:after="120"/>
        <w:jc w:val="right"/>
      </w:pPr>
      <w:r>
        <w:rPr>
          <w:rFonts w:ascii="Arial" w:cs="Arial" w:eastAsia="Arial" w:hAnsi="Arial"/>
          <w:sz w:val="24"/>
          <w:szCs w:val="24"/>
        </w:rPr>
        <w:t xml:space="preserve">социально-экономического развития</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На 2019-2021 годы</w:t>
      </w:r>
    </w:p>
    <w:p>
      <w:pPr>
        <w:spacing w:after="240" w:before="200"/>
        <w:jc w:val="center"/>
      </w:pPr>
      <w:r>
        <w:rPr>
          <w:rFonts w:ascii="Arial" w:cs="Arial" w:eastAsia="Arial" w:hAnsi="Arial"/>
          <w:b/>
          <w:bCs/>
          <w:sz w:val="32"/>
          <w:szCs w:val="32"/>
        </w:rPr>
        <w:t xml:space="preserve">Основные социально-экономические показатели развития</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ВВП:</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Номинальный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604707,2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667078,8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736239,3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Добавленная стоимость</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100034,7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106504.6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115957,0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125271,8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64225,1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68134,4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71897,6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76682,9</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82215,0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46469,0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52429,8</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59008,7</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67301,3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249806,1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269810,0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293834,0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326579,3</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362714,7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69092,0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73967,6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80041,1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88850,9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98736,4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Справка: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470431,7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509109,5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556801,7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617363,7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687094,5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Использование ВВП</w:t>
            </w:r>
            <w:r>
              <w:rPr>
                <w:rFonts w:ascii="Arial" w:cs="Arial" w:eastAsia="Arial" w:hAnsi="Arial"/>
                <w:sz w:val="24"/>
                <w:szCs w:val="24"/>
              </w:rPr>
              <w:t xml:space="preserve">[14]</w:t>
            </w:r>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Конечное потребление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509536,1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546415,4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591439,6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653160,1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722967,4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 потребление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419054,0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448454,3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484867,7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537309,5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596442,4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потребление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90482,1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97961,1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106571,9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115850,5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126525,0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173430,8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186678,5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203838,9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224914,7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248856,4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28727,8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42456,0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41621,6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40107,8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38288,3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проекты государственных инвестиций (ГИ)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18740,5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29203,4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26872,1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22714,2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29501,0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144703,0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144222,5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162217,3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184806,9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210568,1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-162008,3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-174678,2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-190571,4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-210995,9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-235584,5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 и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185932,6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198379,9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216406,6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238112,4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260493,8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 и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347 940,9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373058,1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406978,0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449108,3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496078,3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Социальные показатели</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1399,8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1497,5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1602,7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355609,3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375879,0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399559,4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423533,0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451062,6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Прожиточный минимум</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5219,2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5864,3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6179,3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6556,3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4678,3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4954,3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5256,5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6317,2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6449,9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15670,0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16453,5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17440,7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18522,0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19651,9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6077,0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Трудовые ресурсы</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экономически активного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2565,2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2703,9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2413,6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2458,2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1308,0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bl>
    <w:p>
      <w:pPr>
        <w:spacing w:after="120"/>
        <w:jc w:val="right"/>
      </w:pPr>
      <w:r>
        <w:rPr>
          <w:rFonts w:ascii="Arial" w:cs="Arial" w:eastAsia="Arial" w:hAnsi="Arial"/>
          <w:sz w:val="24"/>
          <w:szCs w:val="24"/>
        </w:rPr>
        <w:t xml:space="preserve">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ВВП</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Использование ВВП</w:t>
            </w:r>
            <w:r>
              <w:rPr>
                <w:rFonts w:ascii="Arial" w:cs="Arial" w:eastAsia="Arial" w:hAnsi="Arial"/>
                <w:sz w:val="24"/>
                <w:szCs w:val="24"/>
              </w:rPr>
              <w:t xml:space="preserve">[17]</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Валовая продукция и темпы роста в отраслях</w:t>
      </w:r>
    </w:p>
    <w:p>
      <w:pPr>
        <w:spacing w:after="240" w:before="200"/>
        <w:jc w:val="center"/>
      </w:pPr>
      <w:r>
        <w:rPr>
          <w:rFonts w:ascii="Arial" w:cs="Arial" w:eastAsia="Arial" w:hAnsi="Arial"/>
          <w:b/>
          <w:bCs/>
          <w:sz w:val="32"/>
          <w:szCs w:val="32"/>
        </w:rPr>
        <w:t xml:space="preserve">Кыргызской Республики, формирующих ВВП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1146"/>
        <w:gridCol w:w="970"/>
        <w:gridCol w:w="971"/>
        <w:gridCol w:w="970"/>
        <w:gridCol w:w="1032"/>
      </w:tblGrid>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207378,4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247603,8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265466,5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r>
              <w:rPr>
                <w:rFonts w:ascii="Arial" w:cs="Arial" w:eastAsia="Arial" w:hAnsi="Arial"/>
                <w:sz w:val="24"/>
                <w:szCs w:val="24"/>
              </w:rPr>
              <w:t xml:space="preserve">[18]</w:t>
            </w:r>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230750,3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243231,6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258963,0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281946,2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304594,9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r>
              <w:rPr>
                <w:rFonts w:ascii="Arial" w:cs="Arial" w:eastAsia="Arial" w:hAnsi="Arial"/>
                <w:sz w:val="24"/>
                <w:szCs w:val="24"/>
              </w:rPr>
              <w:t xml:space="preserve">[19]</w:t>
            </w:r>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231187,8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243252,9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257801,2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280074,0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301839,9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17996,6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18728,8</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19629,2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21065,0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22609,7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176447,2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185047,1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195438,1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212544,0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227678,9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37487,2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40584,5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44111,8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49042,6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2149,3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2353,2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2508,6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Справка:</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130083,1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144590,9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161 942,1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180593,8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203501,0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140215,1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151760,1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171227,3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192712,9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219795,1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427952,9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462222,4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503378,9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559476,1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621381,1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147762,8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162193,3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179669,7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203647,2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230961,4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44238,8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48534,4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54078,3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60362,0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67951,7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22979,0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25309,7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28477,1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31831,7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35455,9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34758,5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36431,3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38107,1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42353,2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47054,2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7"/>
        <w:gridCol w:w="1188"/>
        <w:gridCol w:w="990"/>
        <w:gridCol w:w="972"/>
        <w:gridCol w:w="891"/>
        <w:gridCol w:w="990"/>
      </w:tblGrid>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207378,4</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247603,8</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265466,5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108219,1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113586,8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119919,2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129183,8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138995,6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Зерновые культуры (в весе после доработки),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26101,4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28317,0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29692,8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31900,9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34380,3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1822,4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1841,4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1873,0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1949,6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Сахарная свекла (фабричная),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2222,1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2690,2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3129,8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3412,6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3659,3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712,2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725,1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745,2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768,6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795,5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 (в зачетном весе),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2907,9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3934,5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4256,5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4712,7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76,50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77,90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79,60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Табак (в зачетном весе),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Масличные культуры,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1102,5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1173,3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1238,3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39,68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38,70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Картофель,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24534,7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24683,4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25718,9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27736,9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29582,6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1416,0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1422,7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1427,6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1433,4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1443,4</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28041,4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28392,0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30622,1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32851,2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34967,4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1107,7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Бахчи продовольственные,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2207,3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2228,3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2399,6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2603,6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2837,5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262,9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Плоды и ягоды,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9047,3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9069,1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9147,2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9602,8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9926,2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242,3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Виноград,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405,1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394,3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402,2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растениеводство</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11620,4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12691,4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13306,6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14767,2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17079,5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94203,5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101390,8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106642,9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112631,9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120342,3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58362,6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63022,4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66400,0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69267,2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74256,5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395,0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432,5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30863,6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32701,6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34204,9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36718,6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38793,0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1556,1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1627,6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1666,0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1707,0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3249,2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3919,8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4285,4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4830,6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5401,3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шт.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510,7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556,0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607,0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664,0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728,0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171,5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животноводство</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1586,6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(с учетом вычета коммунальных услуг),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4450,5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4518,3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5070,9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5267,3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5602,7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Рыбоводство, рыболовство,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140,9</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2019-2021 годы, с учетом стоимости переработки давальческого сырья, но без учета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1"/>
        <w:gridCol w:w="1022"/>
        <w:gridCol w:w="949"/>
        <w:gridCol w:w="952"/>
        <w:gridCol w:w="967"/>
        <w:gridCol w:w="968"/>
      </w:tblGrid>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230750,3</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243231,6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258963,0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281946,2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304594,9</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129645,7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144569,6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163103,8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182466,0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206256,0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Добыча полезных ископаемых,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18000,5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18732,8</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19633,4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21069,6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22614,6</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2249,2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2461,9</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2623,8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2886,2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3153,2</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сырой нефти и природного газа,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2933,2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3,066,5</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3284,2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3382,7</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металлических руд,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11908,1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12269,4</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12765,1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13909,8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15044,4</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прочих полезных ископаемых,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1034,4</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185837,4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195452,1</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207822,4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226680,3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244143,7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36438,7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37997,7</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43188,5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49031,2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55758,9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7289,6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8155,0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9594,2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11087,0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12931,6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2338,0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2218,7</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2287,9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2338,3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2444,6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11342,6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17548,2</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23251,4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26739,7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32641,1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595,9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834,3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17323,3</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18667,1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20067,8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22764,8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24859,8</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105725,2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105082,1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103289,9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108319,3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108734,7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1466,9</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1523,2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1359,3</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1603,0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1657,4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1775,4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1920,1</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2096,7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25069,0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27056,8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29357,8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31842,9</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35328,4</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2149,3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2353,4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2508,0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2019-2021 годы,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4"/>
        <w:gridCol w:w="1042"/>
        <w:gridCol w:w="967"/>
        <w:gridCol w:w="970"/>
        <w:gridCol w:w="887"/>
        <w:gridCol w:w="888"/>
      </w:tblGrid>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231187,8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243252,9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257801,2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280074,0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301839,9</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130083,2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144590,9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161942,1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180593,8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203501,0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Добыча полезных ископаемых,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17996,6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18728,8</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19629,2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21065,0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22609,7</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2249,2</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2461,9</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2623,8</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2886,2</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3153,2</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сырой нефти и природного газа,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2933,2</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3066,5</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3284,2</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3284,2</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3382,7</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120,1</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металлических руд,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11908,1</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12265,4</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12760,9</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13905,3</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15039,5</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382,6</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53,3</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прочих полезных ископаемых,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906,1</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935,1</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960,4</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989,4</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1034,4</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77,6</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176447,2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185047,1</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195438,1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212544,0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227678,9</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29221,8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31303,3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35579,7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40393,0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45935,4</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6064,5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7204,6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8476,1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9794,9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11424,6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2088,5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2287,9</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2338,3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2444,6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10715,1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14788,0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19 594,1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22533,7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27506,9</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595,9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834,3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17307,6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18667,1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20067,8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22764,8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24859,8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105725,2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105082,1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103289,9</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108319,3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108734,7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61,6</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1438,2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1466,9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1523,2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278,6</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1359,3</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1547,5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1657,4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1775,4</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1920,1</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2096,7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34900,6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37487,2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40584,5</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44111,8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49042,6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2149,3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2353,2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2508,6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2"/>
        <w:gridCol w:w="1055"/>
        <w:gridCol w:w="961"/>
        <w:gridCol w:w="1129"/>
        <w:gridCol w:w="1054"/>
        <w:gridCol w:w="1157"/>
      </w:tblGrid>
      <w:tr>
        <w:tc>
          <w:tcPr>
            <w:tcW w:type="dxa" w:w="482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1863,7</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млн м3</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Обрабатывающие производства</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11201,6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10801,6</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11222,5</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11334,7</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11448,1</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497,5</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509,0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2520,4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2383,5</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2407,3</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2431,4</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2455,7</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4108,4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4149,5</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4191,0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4232,9</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4275,2</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11 612,8</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11728,9</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11846,2</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11964,7</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12084,3</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из свежего винограда (кроме игристого); виноградное сусло,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69,8</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69,8</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52,8</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271,7</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274,4</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277,2</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279,9</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6064,5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7204,6</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8476,1</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9794,9</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11424,6</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Цемент,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1503,4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1650,0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м2</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 млн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Моторное топливо,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кВт.ч</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15 377,3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15377,3</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15546,2</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15872,7</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16468,0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тыс. Гкал</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3002,5</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сферы услуг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4"/>
        <w:gridCol w:w="1046"/>
        <w:gridCol w:w="971"/>
        <w:gridCol w:w="972"/>
        <w:gridCol w:w="971"/>
        <w:gridCol w:w="993"/>
      </w:tblGrid>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Валовой выпуск сферы услуг,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427952,9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462222,4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503378,9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559476,1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621381,1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52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147762,8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162193,3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179669,7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203647,2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230961,4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44238,8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48534,4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54078,3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60362,0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67951,7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22979,0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25309,7</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28477,1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31831,7</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35455,9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34758,5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36431,3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38107,1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42353,2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47054,2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Финансовое посредничество и страхование,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22508,2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23004,3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23839,3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24607,4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недвижимым имуществом,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19891,8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20078,8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22580,5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24397,3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11231,1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11467,0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12220,9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13014,1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13832,6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3739,1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3806,6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3913,9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4068,0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4253,1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40653,7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43767,9</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52047,8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56818,6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41042,4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45261,3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48814,7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54073,0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59131,0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23793,7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25720,4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27830,5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30994,6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34236,5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Искусство, развлечения и отдых,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4920,4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5440,4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5987,3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6675,8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7442,6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обслуживающая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10829,2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11703,1</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12757,7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15238,8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9"/>
        <w:gridCol w:w="1350"/>
        <w:gridCol w:w="1175"/>
        <w:gridCol w:w="1043"/>
        <w:gridCol w:w="1015"/>
        <w:gridCol w:w="1166"/>
      </w:tblGrid>
      <w:tr>
        <w:tc>
          <w:tcPr>
            <w:tcW w:type="dxa" w:w="4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оказанных рыночных услуг,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659412,5</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716362,2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785274,4</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880918,1</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988379,6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500164,3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546384,2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602383,6</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679575,9</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767116,1</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22494,9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24682,1</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27666,3</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30808,5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34186,3</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31033,7</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32527,2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34023,4</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37814,5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42011,7</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93,8</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млн сомов</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105719,6</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112768,8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121201,1</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132719,2</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145065,5</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sz w:val="24"/>
          <w:szCs w:val="24"/>
        </w:rPr>
        <w:t xml:space="preserve">к Среднесрочному прогнозу</w:t>
      </w:r>
    </w:p>
    <w:p>
      <w:pPr>
        <w:spacing w:after="120"/>
        <w:jc w:val="right"/>
      </w:pPr>
      <w:r>
        <w:rPr>
          <w:rFonts w:ascii="Arial" w:cs="Arial" w:eastAsia="Arial" w:hAnsi="Arial"/>
          <w:sz w:val="24"/>
          <w:szCs w:val="24"/>
        </w:rPr>
        <w:t xml:space="preserve">социально-экономического</w:t>
      </w:r>
    </w:p>
    <w:p>
      <w:pPr>
        <w:spacing w:after="120"/>
        <w:jc w:val="right"/>
      </w:pPr>
      <w:r>
        <w:rPr>
          <w:rFonts w:ascii="Arial" w:cs="Arial" w:eastAsia="Arial" w:hAnsi="Arial"/>
          <w:sz w:val="24"/>
          <w:szCs w:val="24"/>
        </w:rPr>
        <w:t xml:space="preserve">развития Кыргызской Республики</w:t>
      </w:r>
    </w:p>
    <w:p>
      <w:pPr>
        <w:spacing w:after="120"/>
        <w:jc w:val="right"/>
      </w:pPr>
      <w:r>
        <w:rPr>
          <w:rFonts w:ascii="Arial" w:cs="Arial" w:eastAsia="Arial" w:hAnsi="Arial"/>
          <w:sz w:val="24"/>
          <w:szCs w:val="24"/>
        </w:rPr>
        <w:t xml:space="preserve">на 2019-2021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9"/>
        <w:gridCol w:w="1047"/>
        <w:gridCol w:w="1193"/>
        <w:gridCol w:w="1017"/>
        <w:gridCol w:w="961"/>
        <w:gridCol w:w="981"/>
      </w:tblGrid>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Инвестиции в основной капитал, млн сомов</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144 705,8</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159328,4</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177825,8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199789,4</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226023,5</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инвестиции</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83266,2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83943,2</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89732,2</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101282,5</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118541,0</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100,4</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111,3</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115,8</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8055,2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2900,0</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Местный бюджет</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1554,2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1039,3</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1137,5</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1049,9</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1454,8</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предприятий и организаций</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36932,3</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41792,6</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42510,2</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49985,7</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60473,2</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банков</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2930,4</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3131,9</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3321,7</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3434,3</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3131,9</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33794,1</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35079,4</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39762,8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43812,6</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48073,4</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инвестиции</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61439,6</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75385,2</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88093,6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98506,9</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107482,5</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122,1</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110,3</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107,9</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кредиты</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42119,4</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41431,7</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55562,4</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67127,6</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75368,7</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Прямые иностранные инвестиции</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13070,9</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27717,3</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26197,3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24529,8</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23053,5</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гранты и гуманитарная помощь</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6249,3</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6236,2</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6333,9</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6849,5</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9060,3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1648"/>
        <w:gridCol w:w="1165"/>
        <w:gridCol w:w="936"/>
        <w:gridCol w:w="1074"/>
        <w:gridCol w:w="987"/>
        <w:gridCol w:w="987"/>
      </w:tblGrid>
      <w:tr>
        <w:tc>
          <w:tcPr>
            <w:tcW w:type="dxa" w:w="338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11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9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год</w:t>
            </w:r>
          </w:p>
        </w:tc>
        <w:tc>
          <w:tcPr>
            <w:tcW w:type="dxa" w:w="10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2019 год</w:t>
            </w:r>
          </w:p>
        </w:tc>
        <w:tc>
          <w:tcPr>
            <w:tcW w:type="dxa" w:w="9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2020 год</w:t>
            </w:r>
          </w:p>
        </w:tc>
        <w:tc>
          <w:tcPr>
            <w:tcW w:type="dxa" w:w="9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2021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1790,7</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4489,9</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5683,8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-2699,2</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-3123,8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-3243,8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-3483,8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6280,6</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6923,8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7243,8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7563,8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7883,8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8"/>
        <w:gridCol w:w="1609"/>
        <w:gridCol w:w="1317"/>
        <w:gridCol w:w="882"/>
        <w:gridCol w:w="882"/>
        <w:gridCol w:w="903"/>
        <w:gridCol w:w="1026"/>
      </w:tblGrid>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1790,7</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Золото</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700,4</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779,2</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926,3</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983,7</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Лампы накаливания</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Стекло листовое</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147,9</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159,7</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191,5</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190,4</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Электроэнергия</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22930,6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252,6</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и фрукты</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156,3</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113,6</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Хлопок-волокно</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1"/>
        <w:gridCol w:w="1635"/>
        <w:gridCol w:w="1278"/>
        <w:gridCol w:w="896"/>
        <w:gridCol w:w="896"/>
        <w:gridCol w:w="917"/>
        <w:gridCol w:w="896"/>
      </w:tblGrid>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 всего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4489,9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5683,8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68,6</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Электрические машины, оборудование и аппаратура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изделия из них</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изделия из них</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изделия из нее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Лесоматериалы</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изделия из них</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187,9</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Продовольственные товары (включая сельхозсырье)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690,5</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85,1</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r>
              <w:rPr>
                <w:rFonts w:ascii="Arial" w:cs="Arial" w:eastAsia="Arial" w:hAnsi="Arial"/>
                <w:sz w:val="24"/>
                <w:szCs w:val="24"/>
              </w:rPr>
              <w:t xml:space="preserve">[20]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667078,8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736239,3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19343,6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20610,3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24048,2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61370,1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66334,3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78919,8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87482,0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64041,8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65470,0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66932,8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72452,9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75801,9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17980,0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19492,1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35617,2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38348,8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41390,9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44977,8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49203,2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16616,5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19982,5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21852,2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24032,5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84411,7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91026,5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100367,9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111123,8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123353,8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198089,2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213367,6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232978,7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258652,9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288675,0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34341,3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38851,2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207378,4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265466,5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14549,9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15328,9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16057,7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39752,6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42292,0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44532,5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47157,4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50219,6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25943,2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27585,7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29037,8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14450,7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45475,1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48713,9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19523,4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21909,7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23356,8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25068,7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52443,7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56229,4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59851,6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64733,9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70150,7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(с учетом стоимости переработки давальческого сырья, без учета покупной электроэнергии)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230750,3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243231,6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258963,0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281946,2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304594,9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5241,2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5527,7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5949,9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6398,3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26431,4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41019,5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45128,7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49559,5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52778,5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52650,8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51941,6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55744,5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56822,0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2866,7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6720,5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6835,2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7424,3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8060,9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8718,6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1641,8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99375,3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97032,4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106392,0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116998,8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128870,0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32346,5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35393,4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37766,3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40428,0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43854,9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4896,0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5305,7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продукции промышленности (без учета стоимости переработки давальческого сырья, но с учетом покупной электроэнергии)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231187,8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280074,0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301839,9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24482,3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26773,6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29073,0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31955,4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34994,0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53144,0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52559,6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51664,8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55235,2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56188,8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2320,7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6620,9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1776,7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100499,0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107773,5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117261,0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128700,6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141351,2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35780,1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37627,1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39978,9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42760,1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46242,0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сферы услуг (млн сомов)</w:t>
            </w:r>
            <w:r>
              <w:rPr>
                <w:rFonts w:ascii="Arial" w:cs="Arial" w:eastAsia="Arial" w:hAnsi="Arial"/>
                <w:sz w:val="24"/>
                <w:szCs w:val="24"/>
              </w:rPr>
              <w:t xml:space="preserve">[21]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427952,9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462222,4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503378,9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559476,1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621381,1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14759,7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15804,5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17059,0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18683,3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20425,4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41823,9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45632,2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49926,0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55691,5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22465,3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24109,2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26124,7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28889,2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31461,6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11169,5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12255,7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14701,7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28131,2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29975,2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32535,2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35626,1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39283,6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13299,8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14886,5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16701,7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18738,6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47774,1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50998,9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55706,1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61735,7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68148,5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215340,7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232604,8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252301,8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280012,1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311152,6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35275,3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38628,3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42583,9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48412,3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55163,7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оптовой и розничной торговли; ремонт автомобилей и мотоциклов (млн сомов)</w:t>
            </w:r>
            <w:r>
              <w:rPr>
                <w:rFonts w:ascii="Arial" w:cs="Arial" w:eastAsia="Arial" w:hAnsi="Arial"/>
                <w:sz w:val="24"/>
                <w:szCs w:val="24"/>
              </w:rPr>
              <w:t xml:space="preserve">[22]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147762,8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162193,3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179669,7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203647,2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230961,4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3790,7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4163,3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4691,6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5272,7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18621,9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20550,1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22698,6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25379,3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28519,1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6693,7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7344,5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8158,7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9247,6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3390,5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3734,4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4189,2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4693,1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12477,5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13729,9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15121,7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19403,9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4977,0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5466,0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21110,8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23333,6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26234,7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30410,3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34209,0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64980,9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71032,3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78536,9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89058,8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101377,9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13251,1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14511,7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16044,4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18162,8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21028,4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оказанных рыночных услуг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659412,5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716362,2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785274,4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880918,1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988379,6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18224,1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19882,0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22042,5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24481,7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70301,2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77284,9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85203,8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95177,2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106566,3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28443,6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31061,1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34276,5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38596,0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43193,4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12223,6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39120,6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42471,0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46375,3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51928,9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58143,5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16334,5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17701,4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19090,3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21164,2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23740,2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84816,0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91913,3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101741,6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115841,1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129804,8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336829,6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365069,8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399046,2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446912,5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502099,8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57578,1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62636,0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68727,7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77031,9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86629,7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10176"/>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500164,3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602383,6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679575,9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767116,1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14993,4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18297,2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20334,4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65807,4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72481,6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80844,1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90505,3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20093,2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21942,0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24305,4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27446,0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30893,3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8064,1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11025,5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34911,3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38196,5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46568,5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52334,3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15377,9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18476,0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20660,5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73053,9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89891,5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104135,0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118316,6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228206,0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248681,3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273649,0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308434,9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348984,5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48693,1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53020,1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58230,8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65485,7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74061,7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строительства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140215,1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151760,1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171227,3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192712,9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219795,1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2 945,4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21 126,6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21 854,9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23 206,2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25847,6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30051,6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18421,7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22 425,7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25520,4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30205,5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6 241,1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7 356,5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8012,0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9078,1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7 263,2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8 713,4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9667,1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2 329,5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4 166,5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4667,0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5455,4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22 676,5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25531,8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30 378,6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35954,8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42131,1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54 859,0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58121,1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64 392,1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71435,0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79120,1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6 669,5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7115,2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7 480,7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8358,4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9475,1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инвестиций в основной капитал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144 705,8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159 328,4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177 825,8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199 789,4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226 023,5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2 776,5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2 811,3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2 903,9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3 052,6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3 146,6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20 372,9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22 253,5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24 942,6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27 884,5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32 383,5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21 928,7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24 748,9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26 936,3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30 864,5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32 241,7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6 256,3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6 403,3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6 562,8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6 973,4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7 473,4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5 712,5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6 412,3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7 172,7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7 958,6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8 635,8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2 266,3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2 974,2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3 780,5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4 747,2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5 710,1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22 997,7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25 069,9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31 042,4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35 096,4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41 009,0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56 997,2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62 885,3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68 320,5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76 566,8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88 320,3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5 397,7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5 769,7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6 164,1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6 645,4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7 103,1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занятых в экономике, тыс. чел.</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591,3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601,0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464,6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Созданные рабочие места, единиц</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100 102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Уровень общей безработицы, %</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Среднемесячная оплата труда</w:t>
            </w:r>
            <w:r>
              <w:rPr>
                <w:rFonts w:ascii="Arial" w:cs="Arial" w:eastAsia="Arial" w:hAnsi="Arial"/>
                <w:sz w:val="24"/>
                <w:szCs w:val="24"/>
              </w:rPr>
              <w:t xml:space="preserve">[23]</w:t>
            </w:r>
            <w:r>
              <w:rPr>
                <w:rFonts w:ascii="Arial" w:cs="Arial" w:eastAsia="Arial" w:hAnsi="Arial"/>
                <w:sz w:val="24"/>
                <w:szCs w:val="24"/>
              </w:rPr>
              <w:t xml:space="preserve">,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15670,0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16451,4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17438,5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18415,0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19409,5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13677,6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13939,0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14941,9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15925,6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18070,2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21543,0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13018,8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13858,3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14339,0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15727,5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17623,2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18613,7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11295,0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13391,0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14785,4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15759,7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16978,7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17992,6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19336,0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23873,3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25578,5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27347,9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13274,0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14392,7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16444,6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17371,5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Прожиточный минимум, сом.</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5223,1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5779,5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5124,7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4970,7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c3j4ubmzdvyeuplr1ud">
      <w:r>
        <w:rPr>
          <w:rFonts w:ascii="Arial" w:cs="Arial" w:eastAsia="Arial" w:hAnsi="Arial"/>
          <w:color w:val="132D3F"/>
          <w:sz w:val="16"/>
          <w:szCs w:val="16"/>
          <w:u w:val="single"/>
        </w:rPr>
        <w:t xml:space="preserve">dalil.kg/document/12307</w:t>
      </w:r>
    </w:hyperlink>
  </w:p>
  <w:p>
    <w:pPr>
      <w:spacing w:after="0" w:before="40"/>
      <w:jc w:val="center"/>
    </w:pPr>
    <w:hyperlink w:history="1" r:id="rIdcdjrj6tvv1vumlmd_hc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xa9tmfwkukwcvk-w4yu" Type="http://schemas.openxmlformats.org/officeDocument/2006/relationships/hyperlink" Target="https://dalil.kg/document/14563" TargetMode="External"/><Relationship Id="rId5ro5qt8z3ici8apog_ujv" Type="http://schemas.openxmlformats.org/officeDocument/2006/relationships/hyperlink" Target="https://dalil.kg/document/111338" TargetMode="External"/><Relationship Id="rIdxd-_zbo8fbqmd3zggq5tv" Type="http://schemas.openxmlformats.org/officeDocument/2006/relationships/hyperlink" Target="https://dalil.kg/document/202530" TargetMode="External"/><Relationship Id="rIdgzvnk8p7hyclxvqqr2rjb" Type="http://schemas.openxmlformats.org/officeDocument/2006/relationships/hyperlink" Target="https://dalil.kg/document/203685" TargetMode="External"/><Relationship Id="rIdbcizxiv47unqr2qa4fpd0" Type="http://schemas.openxmlformats.org/officeDocument/2006/relationships/hyperlink" Target="https://dalil.kg/document/12307#p1" TargetMode="External"/><Relationship Id="rIdbvxsm4holc8fq2jdbei4m" Type="http://schemas.openxmlformats.org/officeDocument/2006/relationships/hyperlink" Target="https://dalil.kg/document/12308" TargetMode="External"/><Relationship Id="rIdfgjkbnmrgatbligfegy9q" Type="http://schemas.openxmlformats.org/officeDocument/2006/relationships/hyperlink" Target="https://dalil.kg/document/99897" TargetMode="External"/><Relationship Id="rIdeyntr0jnkczklqrpsfrce" Type="http://schemas.openxmlformats.org/officeDocument/2006/relationships/hyperlink" Target="https://dalil.kg/document/98430" TargetMode="External"/><Relationship Id="rIdsq3cpoyibxjpenw4d3n7k" Type="http://schemas.openxmlformats.org/officeDocument/2006/relationships/hyperlink" Target="https://dalil.kg/document/98559" TargetMode="External"/><Relationship Id="rIdxgik5idnc__bwkmn10bt6" Type="http://schemas.openxmlformats.org/officeDocument/2006/relationships/hyperlink" Target="https://dalil.kg/document/97820" TargetMode="External"/><Relationship Id="rIduh3eubqoasyobtyq5kgd0" Type="http://schemas.openxmlformats.org/officeDocument/2006/relationships/hyperlink" Target="https://dalil.kg/document/98725" TargetMode="External"/><Relationship Id="rIddzyqxm2bpffdwv1y-9gz9" Type="http://schemas.openxmlformats.org/officeDocument/2006/relationships/hyperlink" Target="https://dalil.kg/document/99894" TargetMode="External"/><Relationship Id="rId6zmw1pe1r5tgegatiram6" Type="http://schemas.openxmlformats.org/officeDocument/2006/relationships/hyperlink" Target="https://dalil.kg/document/100162" TargetMode="External"/><Relationship Id="rId4cnqbunbd5peb5zwic1uu" Type="http://schemas.openxmlformats.org/officeDocument/2006/relationships/hyperlink" Target="https://dalil.kg/document/98430" TargetMode="External"/><Relationship Id="rIdjmwr5i147ak1rgevricss" Type="http://schemas.openxmlformats.org/officeDocument/2006/relationships/hyperlink" Target="https://dalil.kg/document/11556" TargetMode="External"/><Relationship Id="rId-hmuk7s34hwzsk7ddydtw" Type="http://schemas.openxmlformats.org/officeDocument/2006/relationships/hyperlink" Target="https://dalil.kg/document/97201" TargetMode="External"/><Relationship Id="rIderkemjisr9ay0x36hx1sp" Type="http://schemas.openxmlformats.org/officeDocument/2006/relationships/hyperlink" Target="https://dalil.kg/document/214384" TargetMode="External"/><Relationship Id="rIdnwlzvbak6vtjrxu5cubov" Type="http://schemas.openxmlformats.org/officeDocument/2006/relationships/hyperlink" Target="https://dalil.kg/document/98404" TargetMode="External"/><Relationship Id="rIdijylgbe9xyof94xvgzp3g" Type="http://schemas.openxmlformats.org/officeDocument/2006/relationships/hyperlink" Target="https://dalil.kg/document/92984" TargetMode="External"/><Relationship Id="rIdkrtox7ppbbou1pobqguql" Type="http://schemas.openxmlformats.org/officeDocument/2006/relationships/hyperlink" Target="https://dalil.kg/document/12307#pr1" TargetMode="External"/><Relationship Id="rIdcb9wwxacxa4nqudqoc_tn" Type="http://schemas.openxmlformats.org/officeDocument/2006/relationships/hyperlink" Target="https://dalil.kg/document/12307#pr14"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c3j4ubmzdvyeuplr1ud" Type="http://schemas.openxmlformats.org/officeDocument/2006/relationships/hyperlink" Target="https://dalil.kg/document/12307" TargetMode="External"/><Relationship Id="rIdcdjrj6tvv1vumlmd_hc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2026-09-30T14:05:09.974Z</dcterms:created>
  <dcterms:modified xsi:type="dcterms:W3CDTF">2026-09-30T14:05:09.974Z</dcterms:modified>
</cp:coreProperties>
</file>

<file path=docProps/custom.xml><?xml version="1.0" encoding="utf-8"?>
<Properties xmlns="http://schemas.openxmlformats.org/officeDocument/2006/custom-properties" xmlns:vt="http://schemas.openxmlformats.org/officeDocument/2006/docPropsVTypes"/>
</file>