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w:t>
      </w:r>
    </w:p>
    <w:p>
      <w:pPr>
        <w:spacing w:after="120"/>
        <w:jc w:val="center"/>
      </w:pPr>
      <w:r>
        <w:rPr>
          <w:rFonts w:ascii="Arial" w:cs="Arial" w:eastAsia="Arial" w:hAnsi="Arial"/>
          <w:i/>
          <w:iCs/>
          <w:sz w:val="24"/>
          <w:szCs w:val="24"/>
        </w:rPr>
        <w:t xml:space="preserve">в соответствии </w:t>
      </w:r>
      <w:hyperlink w:history="1" r:id="rIdiwmf4yknv1blb7ycs04du">
        <w:r>
          <w:rPr>
            <w:rFonts w:ascii="Arial" w:cs="Arial" w:eastAsia="Arial" w:hAnsi="Arial"/>
            <w:i/>
            <w:iCs/>
            <w:color w:val="1D4ED8"/>
            <w:sz w:val="24"/>
            <w:szCs w:val="24"/>
            <w:u w:val="single"/>
          </w:rPr>
          <w:t xml:space="preserve">п</w:t>
        </w:r>
        <w:r>
          <w:rPr>
            <w:rFonts w:ascii="Arial" w:cs="Arial" w:eastAsia="Arial" w:hAnsi="Arial"/>
            <w:i/>
            <w:iCs/>
            <w:color w:val="1D4ED8"/>
            <w:sz w:val="24"/>
            <w:szCs w:val="24"/>
            <w:u w:val="single"/>
          </w:rPr>
          <w:t xml:space="preserve">остановлением</w:t>
        </w:r>
      </w:hyperlink>
    </w:p>
    <w:p>
      <w:pPr>
        <w:spacing w:after="120"/>
        <w:jc w:val="center"/>
      </w:pPr>
      <w:r>
        <w:rPr>
          <w:rFonts w:ascii="Arial" w:cs="Arial" w:eastAsia="Arial" w:hAnsi="Arial"/>
          <w:i/>
          <w:iCs/>
          <w:sz w:val="24"/>
          <w:szCs w:val="24"/>
        </w:rPr>
        <w:t xml:space="preserve">Центральной комиссии по выборам</w:t>
      </w:r>
    </w:p>
    <w:p>
      <w:pPr>
        <w:spacing w:after="120"/>
        <w:jc w:val="center"/>
      </w:pPr>
      <w:r>
        <w:rPr>
          <w:rFonts w:ascii="Arial" w:cs="Arial" w:eastAsia="Arial" w:hAnsi="Arial"/>
          <w:i/>
          <w:iCs/>
          <w:sz w:val="24"/>
          <w:szCs w:val="24"/>
        </w:rPr>
        <w:t xml:space="preserve">и проведению референдумов</w:t>
      </w:r>
    </w:p>
    <w:p>
      <w:pPr>
        <w:spacing w:after="120"/>
        <w:jc w:val="center"/>
      </w:pPr>
      <w:r>
        <w:rPr>
          <w:rFonts w:ascii="Arial" w:cs="Arial" w:eastAsia="Arial" w:hAnsi="Arial"/>
          <w:i/>
          <w:iCs/>
          <w:sz w:val="24"/>
          <w:szCs w:val="24"/>
        </w:rPr>
        <w:t xml:space="preserve">Кыргызской Республики</w:t>
      </w:r>
    </w:p>
    <w:p>
      <w:pPr>
        <w:spacing w:after="120"/>
        <w:jc w:val="center"/>
      </w:pPr>
      <w:r>
        <w:rPr>
          <w:rFonts w:ascii="Arial" w:cs="Arial" w:eastAsia="Arial" w:hAnsi="Arial"/>
          <w:i/>
          <w:iCs/>
          <w:sz w:val="24"/>
          <w:szCs w:val="24"/>
        </w:rPr>
        <w:t xml:space="preserve">от 19 августа 2026 года № 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 20 июня 2017 года № 170</w:t>
      </w:r>
    </w:p>
    <w:p>
      <w:pPr>
        <w:spacing w:after="120"/>
        <w:jc w:val="both"/>
      </w:pPr>
      <w:r>
        <w:rPr>
          <w:rFonts w:ascii="Arial" w:cs="Arial" w:eastAsia="Arial" w:hAnsi="Arial"/>
          <w:sz w:val="24"/>
          <w:szCs w:val="24"/>
        </w:rPr>
        <w:t xml:space="preserve">Об утверждении Положения "О Рабочей группе по приему и</w:t>
      </w:r>
    </w:p>
    <w:p>
      <w:pPr>
        <w:spacing w:after="120"/>
        <w:jc w:val="both"/>
      </w:pPr>
      <w:r>
        <w:rPr>
          <w:rFonts w:ascii="Arial" w:cs="Arial" w:eastAsia="Arial" w:hAnsi="Arial"/>
          <w:sz w:val="24"/>
          <w:szCs w:val="24"/>
        </w:rPr>
        <w:t xml:space="preserve">проверке подписных листов"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Руководствуясь статьей 52 </w:t>
      </w:r>
      <w:hyperlink w:history="1" r:id="rIdlsmiefzwdx1vdwse2mtn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в соответствии со статьей 6, пунктом 2 части 1 статьи 7 </w:t>
      </w:r>
      <w:hyperlink w:history="1" r:id="rIdbcuypqzhf8ia1gcnejx7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ПОСТАНОВЛЯЕТ:</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w:t>
      </w:r>
      <w:hyperlink w:history="1" r:id="rIdwoywizmbl-8wkz5ztqlva">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Рабочей группе по приему и проверке подписных листов".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Положение о Рабочей группе (рабочих подгруппах) областных, Бишкекской и Ошской городских избирательных комиссий по приему и проведению проверки достоверности подписей избирателей и соответствующих им сведений, содержащихся в подписных листах в поддержку кандидата на должность Президента Кыргызской Республики от 22 апреля 2005 года № 89;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Положение о Рабочей группе (рабочих подгруппах) областных, Бишкекской и Ошской городских избирательных комиссий по приему и проведению проверки достоверности подписей избирателей и соответствующих им сведений, содержащихся в подписных листах в поддержку кандидата на должность Президента Кыргызской Республики от 21 марта 2009 года №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руководителя Рабочей группы по приему и проверке подписных листов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r>
        <w:rPr>
          <w:rFonts w:ascii="Arial" w:cs="Arial" w:eastAsia="Arial" w:hAnsi="Arial"/>
          <w:sz w:val="24"/>
          <w:szCs w:val="24"/>
        </w:rPr>
        <w:t xml:space="preserve">постановлением</w:t>
      </w:r>
      <w:r>
        <w:rPr>
          <w:rFonts w:ascii="Arial" w:cs="Arial" w:eastAsia="Arial" w:hAnsi="Arial"/>
          <w:sz w:val="24"/>
          <w:szCs w:val="24"/>
        </w:rPr>
        <w:t xml:space="preserve"> Центральной комиссии по выборам и проведению референдумов Кыргызской Республики
 от 20 июня 2017 года № 170</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Рабочей группе по приему и проверке подписных листов</w:t>
      </w:r>
    </w:p>
    <w:p>
      <w:pPr>
        <w:spacing w:after="200" w:before="200"/>
        <w:jc w:val="center"/>
      </w:pPr>
      <w:r>
        <w:rPr>
          <w:rFonts w:ascii="Arial" w:cs="Arial" w:eastAsia="Arial" w:hAnsi="Arial"/>
          <w:b/>
          <w:bCs/>
          <w:sz w:val="32"/>
          <w:szCs w:val="32"/>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определяет цели, задачи, порядок формирования, полномочия и порядок деятельности Рабочей группы по приему и проверке подписных листов, представляемых кандидатами на должность Президента Кыргызской Республики и (или) их уполномоченными представителями в Центральную комиссию по выборам и проведению референдумов Кыргызской Республики (далее по тексту - Центральная избирательная комиссия).</w:t>
      </w:r>
    </w:p>
    <w:p>
      <w:pPr>
        <w:spacing w:after="60"/>
        <w:ind w:firstLine="567"/>
        <w:jc w:val="both"/>
      </w:pPr>
      <w:r>
        <w:rPr>
          <w:rFonts w:ascii="Arial" w:cs="Arial" w:eastAsia="Arial" w:hAnsi="Arial"/>
          <w:sz w:val="24"/>
          <w:szCs w:val="24"/>
        </w:rPr>
        <w:t xml:space="preserve">2. Рабочая группа Центральной комиссии по выборам и проведению референдумов Кыргызской Республики по приему и проверке подписных листов (далее по тексту - Рабочая группа) образуется Центральной избирательной комиссией.</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 Рабочая группа в своей деятельности руководствуется </w:t>
      </w:r>
      <w:hyperlink w:history="1" r:id="rIdtagsu0a9gfu27hak6qkl6">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37m0zilxg8-wkpcrvpuab">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w:t>
      </w:r>
      <w:hyperlink w:history="1" r:id="rIdcxymobmyil9iqrwd3hbx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иными нормативными правовыми актами Кыргызской Республики, Инструкцией "О порядке сбора подписей избирателей в поддержку кандидата на должность Президента Кыргызской Республики и проверки достоверности подписей и сведений в подписных листах, представленных кандидатами и их уполномоченными представителями", утвержденной </w:t>
      </w:r>
      <w:hyperlink w:history="1" r:id="rIdoax5mufdxv3djgh-ewzx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избирательной комиссии от 17.06.2017 года № 165 (далее Инструкция), настоящим Положением и распоряжениями Председателя Центральной избирательной комиссии.</w:t>
      </w:r>
    </w:p>
    <w:p>
      <w:pPr>
        <w:spacing w:after="200" w:before="200"/>
        <w:jc w:val="center"/>
      </w:pPr>
      <w:r>
        <w:rPr>
          <w:rFonts w:ascii="Arial" w:cs="Arial" w:eastAsia="Arial" w:hAnsi="Arial"/>
          <w:b/>
          <w:bCs/>
          <w:sz w:val="32"/>
          <w:szCs w:val="32"/>
        </w:rPr>
        <w:t xml:space="preserve">II. Задачи Рабочей группы</w:t>
      </w:r>
    </w:p>
    <w:p>
      <w:pPr>
        <w:spacing w:after="60"/>
        <w:ind w:firstLine="567"/>
        <w:jc w:val="both"/>
      </w:pPr>
      <w:r>
        <w:rPr>
          <w:rFonts w:ascii="Arial" w:cs="Arial" w:eastAsia="Arial" w:hAnsi="Arial"/>
          <w:sz w:val="24"/>
          <w:szCs w:val="24"/>
        </w:rPr>
        <w:t xml:space="preserve">4. Задачами Рабочей группы являются проверка соответствия подписных листов, представленных уполномоченными представителями кандидатов на должность Президента Кыргызской Республики требованиям </w:t>
      </w:r>
      <w:hyperlink w:history="1" r:id="rIdqtsd7wkmvvmjg4nsf-1ve">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Инструкции и иных актов Центральной избирательной комиссии.</w:t>
      </w:r>
    </w:p>
    <w:p>
      <w:pPr>
        <w:spacing w:after="60"/>
        <w:ind w:firstLine="567"/>
        <w:jc w:val="both"/>
      </w:pPr>
      <w:r>
        <w:rPr>
          <w:rFonts w:ascii="Arial" w:cs="Arial" w:eastAsia="Arial" w:hAnsi="Arial"/>
          <w:sz w:val="24"/>
          <w:szCs w:val="24"/>
        </w:rPr>
        <w:t xml:space="preserve">5. Для реализации этих задач Рабочая группа осуществляет:</w:t>
      </w:r>
    </w:p>
    <w:p>
      <w:pPr>
        <w:spacing w:after="60"/>
        <w:ind w:firstLine="567"/>
        <w:jc w:val="both"/>
      </w:pPr>
      <w:r>
        <w:rPr>
          <w:rFonts w:ascii="Arial" w:cs="Arial" w:eastAsia="Arial" w:hAnsi="Arial"/>
          <w:sz w:val="24"/>
          <w:szCs w:val="24"/>
        </w:rPr>
        <w:t xml:space="preserve">- прием от уполномоченных представителей подписных листов с подписями избирателей в поддержку кандидатов на должность Президента Кыргызской Республики;</w:t>
      </w:r>
    </w:p>
    <w:p>
      <w:pPr>
        <w:spacing w:after="60"/>
        <w:ind w:firstLine="567"/>
        <w:jc w:val="both"/>
      </w:pPr>
      <w:r>
        <w:rPr>
          <w:rFonts w:ascii="Arial" w:cs="Arial" w:eastAsia="Arial" w:hAnsi="Arial"/>
          <w:sz w:val="24"/>
          <w:szCs w:val="24"/>
        </w:rPr>
        <w:t xml:space="preserve">- проверку достоверности части этих подписей, отобранных для проверки посредством случайной выборки (жребия);</w:t>
      </w:r>
    </w:p>
    <w:p>
      <w:pPr>
        <w:spacing w:after="60"/>
        <w:ind w:firstLine="567"/>
        <w:jc w:val="both"/>
      </w:pPr>
      <w:r>
        <w:rPr>
          <w:rFonts w:ascii="Arial" w:cs="Arial" w:eastAsia="Arial" w:hAnsi="Arial"/>
          <w:sz w:val="24"/>
          <w:szCs w:val="24"/>
        </w:rPr>
        <w:t xml:space="preserve">- обеспечение равных условий кандидатам на должность Президента Кыргызской Республики при проверке подписей и сведений об избирателях, содержащихся в подписных листах;</w:t>
      </w:r>
    </w:p>
    <w:p>
      <w:pPr>
        <w:spacing w:after="60"/>
        <w:ind w:firstLine="567"/>
        <w:jc w:val="both"/>
      </w:pPr>
      <w:r>
        <w:rPr>
          <w:rFonts w:ascii="Arial" w:cs="Arial" w:eastAsia="Arial" w:hAnsi="Arial"/>
          <w:sz w:val="24"/>
          <w:szCs w:val="24"/>
        </w:rPr>
        <w:t xml:space="preserve">- подготовку по результатам проверки подписных листов протоколов о результатах проверки подписных листов, с приложением ведомостей проверок, заключений Рабочей группы и других документов, предусмотренных Инструкцией.</w:t>
      </w:r>
    </w:p>
    <w:p>
      <w:pPr>
        <w:spacing w:after="200" w:before="200"/>
        <w:jc w:val="center"/>
      </w:pPr>
      <w:r>
        <w:rPr>
          <w:rFonts w:ascii="Arial" w:cs="Arial" w:eastAsia="Arial" w:hAnsi="Arial"/>
          <w:b/>
          <w:bCs/>
          <w:sz w:val="32"/>
          <w:szCs w:val="32"/>
        </w:rPr>
        <w:t xml:space="preserve">III. Порядок формирования и состав Рабочей группы</w:t>
      </w:r>
    </w:p>
    <w:p>
      <w:pPr>
        <w:spacing w:after="60"/>
        <w:ind w:firstLine="567"/>
        <w:jc w:val="both"/>
      </w:pPr>
      <w:r>
        <w:rPr>
          <w:rFonts w:ascii="Arial" w:cs="Arial" w:eastAsia="Arial" w:hAnsi="Arial"/>
          <w:sz w:val="24"/>
          <w:szCs w:val="24"/>
        </w:rPr>
        <w:t xml:space="preserve">6. Решение о создании Рабочей группы принимается большинством голосов от общего числа членов Центральной избирательной комиссии.</w:t>
      </w:r>
    </w:p>
    <w:p>
      <w:pPr>
        <w:spacing w:after="60"/>
        <w:ind w:firstLine="567"/>
        <w:jc w:val="both"/>
      </w:pPr>
      <w:r>
        <w:rPr>
          <w:rFonts w:ascii="Arial" w:cs="Arial" w:eastAsia="Arial" w:hAnsi="Arial"/>
          <w:sz w:val="24"/>
          <w:szCs w:val="24"/>
        </w:rPr>
        <w:t xml:space="preserve">7. В состав Рабочей группы включаются члены Центральной избирательной комиссии, сотрудники аппарата Центральной избирательной комиссии, привлеченные эксперты и специалисты.</w:t>
      </w:r>
    </w:p>
    <w:p>
      <w:pPr>
        <w:spacing w:after="60"/>
        <w:ind w:firstLine="567"/>
        <w:jc w:val="both"/>
      </w:pPr>
      <w:r>
        <w:rPr>
          <w:rFonts w:ascii="Arial" w:cs="Arial" w:eastAsia="Arial" w:hAnsi="Arial"/>
          <w:sz w:val="24"/>
          <w:szCs w:val="24"/>
        </w:rPr>
        <w:t xml:space="preserve">8. Состав Рабочей группы, в том числе руководитель и заместитель Рабочей группы, утверждается приказом председателя Центральной избирательной комиссии.</w:t>
      </w:r>
    </w:p>
    <w:p>
      <w:pPr>
        <w:spacing w:after="60"/>
        <w:ind w:firstLine="567"/>
        <w:jc w:val="both"/>
      </w:pPr>
      <w:r>
        <w:rPr>
          <w:rFonts w:ascii="Arial" w:cs="Arial" w:eastAsia="Arial" w:hAnsi="Arial"/>
          <w:sz w:val="24"/>
          <w:szCs w:val="24"/>
        </w:rPr>
        <w:t xml:space="preserve">9. Для обеспечения деятельности Рабочей группы и выполнения ее задач могут привлекаться работники регистрационных служб, сертифицированные специалисты ГЦСЭ при МЮ КР, структурных подразделений МВД КР, члены нижестоящих избирательных комиссий и других государственных органов.</w:t>
      </w:r>
    </w:p>
    <w:p>
      <w:pPr>
        <w:spacing w:after="60"/>
        <w:ind w:firstLine="567"/>
        <w:jc w:val="both"/>
      </w:pPr>
      <w:r>
        <w:rPr>
          <w:rFonts w:ascii="Arial" w:cs="Arial" w:eastAsia="Arial" w:hAnsi="Arial"/>
          <w:sz w:val="24"/>
          <w:szCs w:val="24"/>
        </w:rPr>
        <w:t xml:space="preserve">10. Количественный состав привлекаемых специалистов Рабочей группы определяется исходя из объемов документов, представляемых кандидатами и (или) уполномоченными представителями кандидатов, сроков проверки и может меняться на различных этапах деятельности группы руководителем Рабочей группы.</w:t>
      </w:r>
    </w:p>
    <w:p>
      <w:pPr>
        <w:spacing w:after="200" w:before="200"/>
        <w:jc w:val="center"/>
      </w:pPr>
      <w:r>
        <w:rPr>
          <w:rFonts w:ascii="Arial" w:cs="Arial" w:eastAsia="Arial" w:hAnsi="Arial"/>
          <w:b/>
          <w:bCs/>
          <w:sz w:val="32"/>
          <w:szCs w:val="32"/>
        </w:rPr>
        <w:t xml:space="preserve">IV. Порядок деятельности Рабочей группы</w:t>
      </w:r>
    </w:p>
    <w:p>
      <w:pPr>
        <w:spacing w:after="60"/>
        <w:ind w:firstLine="567"/>
        <w:jc w:val="both"/>
      </w:pPr>
      <w:r>
        <w:rPr>
          <w:rFonts w:ascii="Arial" w:cs="Arial" w:eastAsia="Arial" w:hAnsi="Arial"/>
          <w:sz w:val="24"/>
          <w:szCs w:val="24"/>
        </w:rPr>
        <w:t xml:space="preserve">11. Руководитель Рабочей группы осуществляет руководство деятельностью Рабочей группы, созывает ее по мере необходимости и распределяет между членами группы поручения, а также решает вопросы о привлечении дополнительных специалистов и экспертов.</w:t>
      </w:r>
    </w:p>
    <w:p>
      <w:pPr>
        <w:spacing w:after="60"/>
        <w:ind w:firstLine="567"/>
        <w:jc w:val="both"/>
      </w:pPr>
      <w:r>
        <w:rPr>
          <w:rFonts w:ascii="Arial" w:cs="Arial" w:eastAsia="Arial" w:hAnsi="Arial"/>
          <w:sz w:val="24"/>
          <w:szCs w:val="24"/>
        </w:rPr>
        <w:t xml:space="preserve">12. Устные и письменные указания руководителя Рабочей группы и его заместителя являются обязательными для исполнения членами Рабочей группы, включая внештатных специалистов и экспертов, привлеченных на договорной основе.</w:t>
      </w:r>
    </w:p>
    <w:p>
      <w:pPr>
        <w:spacing w:after="60"/>
        <w:ind w:firstLine="567"/>
        <w:jc w:val="both"/>
      </w:pPr>
      <w:r>
        <w:rPr>
          <w:rFonts w:ascii="Arial" w:cs="Arial" w:eastAsia="Arial" w:hAnsi="Arial"/>
          <w:sz w:val="24"/>
          <w:szCs w:val="24"/>
        </w:rPr>
        <w:t xml:space="preserve">13. Рабочая группа осуществляет свою деятельность на принципах законности, коллегиальности, независимости, гласности и справедливости.</w:t>
      </w:r>
    </w:p>
    <w:p>
      <w:pPr>
        <w:spacing w:after="60"/>
        <w:ind w:firstLine="567"/>
        <w:jc w:val="both"/>
      </w:pPr>
      <w:r>
        <w:rPr>
          <w:rFonts w:ascii="Arial" w:cs="Arial" w:eastAsia="Arial" w:hAnsi="Arial"/>
          <w:sz w:val="24"/>
          <w:szCs w:val="24"/>
        </w:rPr>
        <w:t xml:space="preserve">14. Решения Рабочей группы об утверждении протокола проверки подписных листов, заключения принимаются на заседаниях Рабочей группы путем голосования, большинством от общего числа членов группы.</w:t>
      </w:r>
    </w:p>
    <w:p>
      <w:pPr>
        <w:spacing w:after="60"/>
        <w:ind w:firstLine="567"/>
        <w:jc w:val="both"/>
      </w:pPr>
      <w:r>
        <w:rPr>
          <w:rFonts w:ascii="Arial" w:cs="Arial" w:eastAsia="Arial" w:hAnsi="Arial"/>
          <w:sz w:val="24"/>
          <w:szCs w:val="24"/>
        </w:rPr>
        <w:t xml:space="preserve">15. Все члены Рабочей группы обладают равными правами.</w:t>
      </w:r>
    </w:p>
    <w:p>
      <w:pPr>
        <w:spacing w:after="60"/>
        <w:ind w:firstLine="567"/>
        <w:jc w:val="both"/>
      </w:pPr>
      <w:r>
        <w:rPr>
          <w:rFonts w:ascii="Arial" w:cs="Arial" w:eastAsia="Arial" w:hAnsi="Arial"/>
          <w:sz w:val="24"/>
          <w:szCs w:val="24"/>
        </w:rPr>
        <w:t xml:space="preserve">16. На заседании Рабочей группы каждый ее член имеет один голос.</w:t>
      </w:r>
    </w:p>
    <w:p>
      <w:pPr>
        <w:spacing w:after="60"/>
        <w:ind w:firstLine="567"/>
        <w:jc w:val="both"/>
      </w:pPr>
      <w:r>
        <w:rPr>
          <w:rFonts w:ascii="Arial" w:cs="Arial" w:eastAsia="Arial" w:hAnsi="Arial"/>
          <w:sz w:val="24"/>
          <w:szCs w:val="24"/>
        </w:rPr>
        <w:t xml:space="preserve">17. Член Рабочей группы, не согласный с принятым Рабочей группой решением, вправе изложить в письменном виде особое мнение, которое прилагается к решению Рабочей группы.</w:t>
      </w:r>
    </w:p>
    <w:p>
      <w:pPr>
        <w:spacing w:after="60"/>
        <w:ind w:firstLine="567"/>
        <w:jc w:val="both"/>
      </w:pPr>
      <w:r>
        <w:rPr>
          <w:rFonts w:ascii="Arial" w:cs="Arial" w:eastAsia="Arial" w:hAnsi="Arial"/>
          <w:sz w:val="24"/>
          <w:szCs w:val="24"/>
        </w:rPr>
        <w:t xml:space="preserve">18. О каждом случае проведения проверки должен извещаться соответствующий кандидат, либо его уполномоченный представитель, представившие подписи для регистрации, чьи подписные листы подлежат проверке. При проведении проверки подписей, включая проведение выборки (жребия) подписей для проверки, вправе присутствовать представившие установленное количество подписей кандидаты или их уполномоченные представители.</w:t>
      </w:r>
    </w:p>
    <w:p>
      <w:pPr>
        <w:spacing w:after="60"/>
        <w:ind w:firstLine="567"/>
        <w:jc w:val="both"/>
      </w:pPr>
      <w:r>
        <w:rPr>
          <w:rFonts w:ascii="Arial" w:cs="Arial" w:eastAsia="Arial" w:hAnsi="Arial"/>
          <w:sz w:val="24"/>
          <w:szCs w:val="24"/>
        </w:rPr>
        <w:t xml:space="preserve">19. С разрешения руководителя Рабочей группы кандидатам на должность Президента Кыргызской Республики или их уполномоченным представителям, по их просьбе, представляется информация о ходе проверки подписных листов, на момент поступления просьбы (устной, письменной). При этом вышеуказанные лица не вправе вмешиваться в технологический процесс проверки подписных листов, противодействовать членам Рабочей группы в осуществлении их обязанностей.</w:t>
      </w:r>
    </w:p>
    <w:p>
      <w:pPr>
        <w:spacing w:after="60"/>
        <w:ind w:firstLine="567"/>
        <w:jc w:val="both"/>
      </w:pPr>
      <w:r>
        <w:rPr>
          <w:rFonts w:ascii="Arial" w:cs="Arial" w:eastAsia="Arial" w:hAnsi="Arial"/>
          <w:sz w:val="24"/>
          <w:szCs w:val="24"/>
        </w:rPr>
        <w:t xml:space="preserve">20. На заседаниях Рабочей группы вправе присутствовать представители средств массовой информации.</w:t>
      </w:r>
    </w:p>
    <w:p>
      <w:pPr>
        <w:spacing w:after="60"/>
        <w:ind w:firstLine="567"/>
        <w:jc w:val="both"/>
      </w:pPr>
      <w:r>
        <w:rPr>
          <w:rFonts w:ascii="Arial" w:cs="Arial" w:eastAsia="Arial" w:hAnsi="Arial"/>
          <w:sz w:val="24"/>
          <w:szCs w:val="24"/>
        </w:rPr>
        <w:t xml:space="preserve">21. Обеспечение деятельности Рабочей группы осуществляет аппарат Центральной избирательной комиссии.</w:t>
      </w:r>
    </w:p>
    <w:p>
      <w:pPr>
        <w:spacing w:after="200" w:before="200"/>
        <w:jc w:val="center"/>
      </w:pPr>
      <w:r>
        <w:rPr>
          <w:rFonts w:ascii="Arial" w:cs="Arial" w:eastAsia="Arial" w:hAnsi="Arial"/>
          <w:b/>
          <w:bCs/>
          <w:sz w:val="32"/>
          <w:szCs w:val="32"/>
        </w:rPr>
        <w:t xml:space="preserve">V. Решения Рабочей группы</w:t>
      </w:r>
    </w:p>
    <w:p>
      <w:pPr>
        <w:spacing w:after="60"/>
        <w:ind w:firstLine="567"/>
        <w:jc w:val="both"/>
      </w:pPr>
      <w:r>
        <w:rPr>
          <w:rFonts w:ascii="Arial" w:cs="Arial" w:eastAsia="Arial" w:hAnsi="Arial"/>
          <w:sz w:val="24"/>
          <w:szCs w:val="24"/>
        </w:rPr>
        <w:t xml:space="preserve">22. По результатам проверки представленных подписных листов, Рабочая группа составляет ведомости проверки подписных листов, заключения Рабочей группы по проверке достоверности подписей избирателей и сведений, содержащихся в подписных листах и протокол о результатах проверки подписных листов по каждому кандидату на должность Президента Кыргызской Республики.</w:t>
      </w:r>
    </w:p>
    <w:p>
      <w:pPr>
        <w:spacing w:after="60"/>
        <w:ind w:firstLine="567"/>
        <w:jc w:val="both"/>
      </w:pPr>
      <w:r>
        <w:rPr>
          <w:rFonts w:ascii="Arial" w:cs="Arial" w:eastAsia="Arial" w:hAnsi="Arial"/>
          <w:sz w:val="24"/>
          <w:szCs w:val="24"/>
        </w:rPr>
        <w:t xml:space="preserve">23. Заверенные подписью руководителя Рабочей группы и печатью ЦИК ведомости проверки подписных листов, заключения Рабочей группы по проверке достоверности подписей избирателей и сведений, содержащихся в подписных листах, протокол о результатах проверки подписных листов незамедлительно после их принятия Рабочей группой выдается соответствующему кандидату, либо его уполномоченному лицу, чьи подписные листы были проверены.</w:t>
      </w:r>
    </w:p>
    <w:p>
      <w:pPr>
        <w:spacing w:after="60"/>
        <w:ind w:firstLine="567"/>
        <w:jc w:val="both"/>
      </w:pPr>
      <w:r>
        <w:rPr>
          <w:rFonts w:ascii="Arial" w:cs="Arial" w:eastAsia="Arial" w:hAnsi="Arial"/>
          <w:sz w:val="24"/>
          <w:szCs w:val="24"/>
        </w:rPr>
        <w:t xml:space="preserve">24. Протокол о результатах проверки подписных листов выносится Рабочей группой на заседание Центральной избирательной комиссии.</w:t>
      </w:r>
    </w:p>
    <w:p>
      <w:pPr>
        <w:spacing w:after="60"/>
        <w:ind w:firstLine="567"/>
        <w:jc w:val="both"/>
      </w:pPr>
      <w:r>
        <w:rPr>
          <w:rFonts w:ascii="Arial" w:cs="Arial" w:eastAsia="Arial" w:hAnsi="Arial"/>
          <w:sz w:val="24"/>
          <w:szCs w:val="24"/>
        </w:rPr>
        <w:t xml:space="preserve">25. Кандидат, либо его уполномоченный представитель при рассмотрении ЦИК протокола о результатах проверки вправе приводить свои доводы "за" или "против" вынесенного Рабочей группой заключения.</w:t>
      </w:r>
    </w:p>
    <w:p>
      <w:pPr>
        <w:spacing w:after="200" w:before="200"/>
        <w:jc w:val="center"/>
      </w:pPr>
      <w:r>
        <w:rPr>
          <w:rFonts w:ascii="Arial" w:cs="Arial" w:eastAsia="Arial" w:hAnsi="Arial"/>
          <w:b/>
          <w:bCs/>
          <w:sz w:val="32"/>
          <w:szCs w:val="32"/>
        </w:rPr>
        <w:t xml:space="preserve">VI. Документы Рабочей группы</w:t>
      </w:r>
    </w:p>
    <w:p>
      <w:pPr>
        <w:spacing w:after="60"/>
        <w:ind w:firstLine="567"/>
        <w:jc w:val="both"/>
      </w:pPr>
      <w:r>
        <w:rPr>
          <w:rFonts w:ascii="Arial" w:cs="Arial" w:eastAsia="Arial" w:hAnsi="Arial"/>
          <w:sz w:val="24"/>
          <w:szCs w:val="24"/>
        </w:rPr>
        <w:t xml:space="preserve">26. По завершении работы Рабочей группы, все документы Рабочей группы, передаются в архив Центральной избирательной комиссии, в установленном порядке и в установленные законодательством сроки.</w:t>
      </w:r>
    </w:p>
    <w:p>
      <w:pPr>
        <w:spacing w:after="60"/>
        <w:ind w:firstLine="567"/>
        <w:jc w:val="both"/>
      </w:pPr>
      <w:r>
        <w:rPr>
          <w:rFonts w:ascii="Arial" w:cs="Arial" w:eastAsia="Arial" w:hAnsi="Arial"/>
          <w:sz w:val="24"/>
          <w:szCs w:val="24"/>
        </w:rPr>
        <w:t xml:space="preserve">27. Ответственность за передачу документов несет руководитель Рабочей группы.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6mxk9nwtstn4rvtjhbrz">
      <w:r>
        <w:rPr>
          <w:rFonts w:ascii="Arial" w:cs="Arial" w:eastAsia="Arial" w:hAnsi="Arial"/>
          <w:color w:val="132D3F"/>
          <w:sz w:val="16"/>
          <w:szCs w:val="16"/>
          <w:u w:val="single"/>
        </w:rPr>
        <w:t xml:space="preserve">dalil.kg/document/12421</w:t>
      </w:r>
    </w:hyperlink>
  </w:p>
  <w:p>
    <w:pPr>
      <w:spacing w:after="0" w:before="40"/>
      <w:jc w:val="center"/>
    </w:pPr>
    <w:hyperlink w:history="1" r:id="rIdjdcgq2qdwmqr1zxlb84m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wmf4yknv1blb7ycs04du" Type="http://schemas.openxmlformats.org/officeDocument/2006/relationships/hyperlink" Target="https://dalil.kg/document/230050254" TargetMode="External"/><Relationship Id="rIdlsmiefzwdx1vdwse2mtnb" Type="http://schemas.openxmlformats.org/officeDocument/2006/relationships/hyperlink" Target="https://dalil.kg/document/203244" TargetMode="External"/><Relationship Id="rIdbcuypqzhf8ia1gcnejx7o" Type="http://schemas.openxmlformats.org/officeDocument/2006/relationships/hyperlink" Target="https://dalil.kg/document/203100" TargetMode="External"/><Relationship Id="rIdwoywizmbl-8wkz5ztqlva" Type="http://schemas.openxmlformats.org/officeDocument/2006/relationships/hyperlink" Target="https://dalil.kg/document/12421#&#1088;1" TargetMode="External"/><Relationship Id="rIdtagsu0a9gfu27hak6qkl6" Type="http://schemas.openxmlformats.org/officeDocument/2006/relationships/hyperlink" Target="https://dalil.kg/document/202913" TargetMode="External"/><Relationship Id="rId37m0zilxg8-wkpcrvpuab" Type="http://schemas.openxmlformats.org/officeDocument/2006/relationships/hyperlink" Target="https://dalil.kg/document/203244" TargetMode="External"/><Relationship Id="rIdcxymobmyil9iqrwd3hbxq" Type="http://schemas.openxmlformats.org/officeDocument/2006/relationships/hyperlink" Target="https://dalil.kg/document/203100" TargetMode="External"/><Relationship Id="rIdoax5mufdxv3djgh-ewzxa" Type="http://schemas.openxmlformats.org/officeDocument/2006/relationships/hyperlink" Target="https://dalil.kg/document/12416" TargetMode="External"/><Relationship Id="rIdqtsd7wkmvvmjg4nsf-1ve"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6mxk9nwtstn4rvtjhbrz" Type="http://schemas.openxmlformats.org/officeDocument/2006/relationships/hyperlink" Target="https://dalil.kg/document/12421" TargetMode="External"/><Relationship Id="rIdjdcgq2qdwmqr1zxlb84m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2026-10-03T18:10:42.317Z</dcterms:created>
  <dcterms:modified xsi:type="dcterms:W3CDTF">2026-10-03T18:10:42.317Z</dcterms:modified>
</cp:coreProperties>
</file>

<file path=docProps/custom.xml><?xml version="1.0" encoding="utf-8"?>
<Properties xmlns="http://schemas.openxmlformats.org/officeDocument/2006/custom-properties" xmlns:vt="http://schemas.openxmlformats.org/officeDocument/2006/docPropsVTypes"/>
</file>