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24 сентября 2018 года № 446</w:t>
      </w:r>
    </w:p>
    <w:p>
      <w:pPr>
        <w:spacing w:after="120"/>
        <w:jc w:val="both"/>
      </w:pPr>
      <w:r>
        <w:rPr>
          <w:rFonts w:ascii="Arial" w:cs="Arial" w:eastAsia="Arial" w:hAnsi="Arial"/>
          <w:sz w:val="28"/>
          <w:szCs w:val="28"/>
        </w:rPr>
        <w:t xml:space="preserve">О заключении Правительства Кыргызской Республики на проект Закона Кыргызской Республики "О государственном стратегическом управлении и планировании"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usgeku7lpp9xgncoogtob">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aurmceixfhzisjlyhfnjt">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государственном стратегическом управлении и планировании", инициированного депутатами Жогорку Кенеша Кыргызской Республики Жапаровым А.У., Зулпукаровым Т.З., Турсунбековым Ч.А., Сулаймановым А.Т.</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М. Абылгазиев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w:t>
      </w:r>
      <w:hyperlink w:history="1" r:id="rId1utafa5dve2fpt24y848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сентября 2018 года № 446</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Закона Кыргызской Республики "О государственном стратегическом управлении и планировании"</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jayv-4ragzviuamw2j6ha">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государственном стратегическом управлении и планировании", инициированного депутатами Жогорку Кенеша Кыргызской Республики Жапаровым А.У., Зулпукаровым Т.З., Турсунбековым Ч.А., Сулаймановым А.Т., приходит к следующему заключению.</w:t>
      </w:r>
    </w:p>
    <w:p>
      <w:pPr>
        <w:spacing w:after="60"/>
        <w:ind w:firstLine="567"/>
        <w:jc w:val="both"/>
      </w:pPr>
      <w:r>
        <w:rPr>
          <w:rFonts w:ascii="Arial" w:cs="Arial" w:eastAsia="Arial" w:hAnsi="Arial"/>
          <w:sz w:val="24"/>
          <w:szCs w:val="24"/>
        </w:rPr>
        <w:t xml:space="preserve">1. В названии проекта Закона предлагаем исключить слова "и планировании", так как планирование - это только часть цикла управления, состоящая из нескольких этапов, таких, как постановка целей и задач, мониторинг и оценка, управление изменениями. С учетом изложенного предлагаем внести соответствующие корректировки по тексту проекта Закона.</w:t>
      </w:r>
    </w:p>
    <w:p>
      <w:pPr>
        <w:spacing w:after="60"/>
        <w:ind w:firstLine="567"/>
        <w:jc w:val="both"/>
      </w:pPr>
      <w:r>
        <w:rPr>
          <w:rFonts w:ascii="Arial" w:cs="Arial" w:eastAsia="Arial" w:hAnsi="Arial"/>
          <w:sz w:val="24"/>
          <w:szCs w:val="24"/>
        </w:rPr>
        <w:t xml:space="preserve">2. В абзаце четвертом статьи 3 проекта Закона отдельные положения изложены неконкретно, обобщенно и носят оценочный характер, и соответственно, такие формулировки в правоприменительной практике могут привести к толкованию той или иной ситуации по усмотрению правоприменителя.</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11</w:t>
      </w:r>
      <w:r>
        <w:rPr>
          <w:rFonts w:ascii="Arial" w:cs="Arial" w:eastAsia="Arial" w:hAnsi="Arial"/>
          <w:sz w:val="24"/>
          <w:szCs w:val="24"/>
        </w:rPr>
        <w:t xml:space="preserve"> </w:t>
      </w:r>
      <w:hyperlink w:history="1" r:id="rIdmxjfcmzlnwpi3wonppsm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текст нормативного правового акта излагается с соблюдением норм литературного языка и юридической терминологии. Не допускается употребление устаревших и многозначных слов и выражений, эпитетов, метафор, сокращение слов.</w:t>
      </w:r>
    </w:p>
    <w:p>
      <w:pPr>
        <w:spacing w:after="60"/>
        <w:ind w:firstLine="567"/>
        <w:jc w:val="both"/>
      </w:pPr>
      <w:r>
        <w:rPr>
          <w:rFonts w:ascii="Arial" w:cs="Arial" w:eastAsia="Arial" w:hAnsi="Arial"/>
          <w:sz w:val="24"/>
          <w:szCs w:val="24"/>
        </w:rPr>
        <w:t xml:space="preserve">В этой связи в абзаце четвертом статьи 3 проекта Закона предлагаем конкретизировать формулировку "отраслей и секторов, регионов, межотраслевых и межсекторальных, других сфер жизни общества". Аналогичные предложения по части 2 статьи 9 - слова "согласование деятельности", части 2 статьи 12 - слова "по принятию решений для стратегических документов", части 3 статьи 16 - слова "субъекты реализации", части 1 статьи 18 - слова "возникших внутренних и внешних факторов" проекта Закона.</w:t>
      </w:r>
    </w:p>
    <w:p>
      <w:pPr>
        <w:spacing w:after="60"/>
        <w:ind w:firstLine="567"/>
        <w:jc w:val="both"/>
      </w:pPr>
      <w:r>
        <w:rPr>
          <w:rFonts w:ascii="Arial" w:cs="Arial" w:eastAsia="Arial" w:hAnsi="Arial"/>
          <w:sz w:val="24"/>
          <w:szCs w:val="24"/>
        </w:rPr>
        <w:t xml:space="preserve">3. В соответствии с абзацем первым статьи 5 проекта Закона государственные стратегические документы в зависимости от масштаба государственного воздействия делятся по статусу на уровни. Далее, абзацами вторым-четвертым статьи 5 проекта Закона предлагается установить, что государственные стратегические документы делятся на уровни иерархии (национальная стратегия - 1-уровень иерархии, общегосударственные программы - 2-уровень иерархии и государственные программы - 3-уровень иерархии).</w:t>
      </w:r>
    </w:p>
    <w:p>
      <w:pPr>
        <w:spacing w:after="60"/>
        <w:ind w:firstLine="567"/>
        <w:jc w:val="both"/>
      </w:pPr>
      <w:r>
        <w:rPr>
          <w:rFonts w:ascii="Arial" w:cs="Arial" w:eastAsia="Arial" w:hAnsi="Arial"/>
          <w:sz w:val="24"/>
          <w:szCs w:val="24"/>
        </w:rPr>
        <w:t xml:space="preserve">Вместе с тем, во избежание неоднозначности смысла положений проекта Закона, считаем целесообразным использовать в статье 5 проекта Закона одно из понятий по определению уровня документов.</w:t>
      </w:r>
    </w:p>
    <w:p>
      <w:pPr>
        <w:spacing w:after="60"/>
        <w:ind w:firstLine="567"/>
        <w:jc w:val="both"/>
      </w:pPr>
      <w:r>
        <w:rPr>
          <w:rFonts w:ascii="Arial" w:cs="Arial" w:eastAsia="Arial" w:hAnsi="Arial"/>
          <w:sz w:val="24"/>
          <w:szCs w:val="24"/>
        </w:rPr>
        <w:t xml:space="preserve">Кроме того, принимая во внимание положения статьи 5 проекта Закона о разделении государственных стратегических документов на уровни (иерархии), которые предлагается утвердить соответствующими нормативными правовыми актами, согласно положениям статьи 15 проекта Закона, отмечаем, что предусмотренные проектом уровень или иерархия могут быть нарушены ввиду существования иерархии нормативных правовых актов, которыми будут утверждаться указанные в проекте государственные стратегические документы. Иерархия нормативных правовых актов предусмотрена </w:t>
      </w:r>
      <w:r>
        <w:rPr>
          <w:rFonts w:ascii="Arial" w:cs="Arial" w:eastAsia="Arial" w:hAnsi="Arial"/>
          <w:sz w:val="24"/>
          <w:szCs w:val="24"/>
        </w:rPr>
        <w:t xml:space="preserve">статьей 6</w:t>
      </w:r>
      <w:r>
        <w:rPr>
          <w:rFonts w:ascii="Arial" w:cs="Arial" w:eastAsia="Arial" w:hAnsi="Arial"/>
          <w:sz w:val="24"/>
          <w:szCs w:val="24"/>
        </w:rPr>
        <w:t xml:space="preserve"> </w:t>
      </w:r>
      <w:hyperlink w:history="1" r:id="rIdmc11ja6lcwwhd60cw3tu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w:t>
      </w:r>
    </w:p>
    <w:p>
      <w:pPr>
        <w:spacing w:after="60"/>
        <w:ind w:firstLine="567"/>
        <w:jc w:val="both"/>
      </w:pPr>
      <w:r>
        <w:rPr>
          <w:rFonts w:ascii="Arial" w:cs="Arial" w:eastAsia="Arial" w:hAnsi="Arial"/>
          <w:sz w:val="24"/>
          <w:szCs w:val="24"/>
        </w:rPr>
        <w:t xml:space="preserve">При этом в абзаце третьем указанной статьи проекта Закона предлагаем исключить положения, определяющие порядок утверждения общегосударственных программ, так как в статье 15 проекта Закона устанавливается порядок утверждения стратегических документов всех уровней.</w:t>
      </w:r>
    </w:p>
    <w:p>
      <w:pPr>
        <w:spacing w:after="60"/>
        <w:ind w:firstLine="567"/>
        <w:jc w:val="both"/>
      </w:pPr>
      <w:r>
        <w:rPr>
          <w:rFonts w:ascii="Arial" w:cs="Arial" w:eastAsia="Arial" w:hAnsi="Arial"/>
          <w:sz w:val="24"/>
          <w:szCs w:val="24"/>
        </w:rPr>
        <w:t xml:space="preserve">4. Согласно части 1 статьи 12 проекта Закона по решению Президента Кыргызской Республики, Правительства Кыргызской Республики либо руководителя государственного органа могут быть созданы координационные советы при инициировании процесса разработки государственных стратегических документов. Соответственно, следует полагать, что при разработке государственных стратегических документов координационные советы могут создаваться по желанию инициаторов разработки государственных стратегических документов.</w:t>
      </w:r>
    </w:p>
    <w:p>
      <w:pPr>
        <w:spacing w:after="60"/>
        <w:ind w:firstLine="567"/>
        <w:jc w:val="both"/>
      </w:pPr>
      <w:r>
        <w:rPr>
          <w:rFonts w:ascii="Arial" w:cs="Arial" w:eastAsia="Arial" w:hAnsi="Arial"/>
          <w:sz w:val="24"/>
          <w:szCs w:val="24"/>
        </w:rPr>
        <w:t xml:space="preserve">Однако частью 2 статьи 9 проекта Закона предусмотрено, что согласование деятельности участников государственного стратегического управления и планирования осуществляется через Национальный и Координационные советы.</w:t>
      </w:r>
    </w:p>
    <w:p>
      <w:pPr>
        <w:spacing w:after="60"/>
        <w:ind w:firstLine="567"/>
        <w:jc w:val="both"/>
      </w:pPr>
      <w:r>
        <w:rPr>
          <w:rFonts w:ascii="Arial" w:cs="Arial" w:eastAsia="Arial" w:hAnsi="Arial"/>
          <w:sz w:val="24"/>
          <w:szCs w:val="24"/>
        </w:rPr>
        <w:t xml:space="preserve">Кроме того, в части 4 статьи 17 проекта Закона предлагается указать, что результаты мониторинга и оценки реализации государственных стратегических документов представляются в форме отчетов, размещаются на официальных сайтах государственных органов и выносятся на рассмотрение Национального или Координационного совета соответствующего уровня.</w:t>
      </w:r>
    </w:p>
    <w:p>
      <w:pPr>
        <w:spacing w:after="60"/>
        <w:ind w:firstLine="567"/>
        <w:jc w:val="both"/>
      </w:pPr>
      <w:r>
        <w:rPr>
          <w:rFonts w:ascii="Arial" w:cs="Arial" w:eastAsia="Arial" w:hAnsi="Arial"/>
          <w:sz w:val="24"/>
          <w:szCs w:val="24"/>
        </w:rPr>
        <w:t xml:space="preserve">Указанные в части 2 статьи 9 и части 4 статьи 17 положения проекта Закона носят обязательный характер участия Координационного совета в деятельности участников государственного стратегического управления и планирования.</w:t>
      </w:r>
    </w:p>
    <w:p>
      <w:pPr>
        <w:spacing w:after="60"/>
        <w:ind w:firstLine="567"/>
        <w:jc w:val="both"/>
      </w:pPr>
      <w:r>
        <w:rPr>
          <w:rFonts w:ascii="Arial" w:cs="Arial" w:eastAsia="Arial" w:hAnsi="Arial"/>
          <w:sz w:val="24"/>
          <w:szCs w:val="24"/>
        </w:rPr>
        <w:t xml:space="preserve">В связи с вышеизложенным предлагаем четко определить роль Координационного совета в деятельности участников государственного стратегического управления и планирования.</w:t>
      </w:r>
    </w:p>
    <w:p>
      <w:pPr>
        <w:spacing w:after="60"/>
        <w:ind w:firstLine="567"/>
        <w:jc w:val="both"/>
      </w:pPr>
      <w:r>
        <w:rPr>
          <w:rFonts w:ascii="Arial" w:cs="Arial" w:eastAsia="Arial" w:hAnsi="Arial"/>
          <w:sz w:val="24"/>
          <w:szCs w:val="24"/>
        </w:rPr>
        <w:t xml:space="preserve">5. Часть 2 статьи 8 проекта Закона предлагаем исключить, так как в соответствии с частью 4 статьи 8 проекта Закона порядок ведения реестра государственных стратегических документов определяется уполномоченным государственным органом, определяемым Правительством Кыргызской Республики.</w:t>
      </w:r>
    </w:p>
    <w:p>
      <w:pPr>
        <w:spacing w:after="60"/>
        <w:ind w:firstLine="567"/>
        <w:jc w:val="both"/>
      </w:pPr>
      <w:r>
        <w:rPr>
          <w:rFonts w:ascii="Arial" w:cs="Arial" w:eastAsia="Arial" w:hAnsi="Arial"/>
          <w:sz w:val="24"/>
          <w:szCs w:val="24"/>
        </w:rPr>
        <w:t xml:space="preserve">6. Согласно части 4 статьи 8 проекта Закона уполномоченный государственный орган будет осуществлять регистрацию государственных стратегических документов всех статусов и типов. Вместе с тем проектом Закона не раскрываются критерии деления названных документов на типы. Также, поскольку государственные стратегические документы планируется утверждать соответствующими нормативными правовыми актами, регистрация которых осуществляется в соответствии с </w:t>
      </w:r>
      <w:hyperlink w:history="1" r:id="rIdotxllcpvf8alymd3yayl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требуется уточнить, что подразумевается под дополнительной регистрацией государственных стратегических документов.</w:t>
      </w:r>
    </w:p>
    <w:p>
      <w:pPr>
        <w:spacing w:after="60"/>
        <w:ind w:firstLine="567"/>
        <w:jc w:val="both"/>
      </w:pPr>
      <w:r>
        <w:rPr>
          <w:rFonts w:ascii="Arial" w:cs="Arial" w:eastAsia="Arial" w:hAnsi="Arial"/>
          <w:sz w:val="24"/>
          <w:szCs w:val="24"/>
        </w:rPr>
        <w:t xml:space="preserve">7. Статьей 11 проекта Закона Национальный совет наделяется функциями разработки и принятия мер по долгосрочным концепциям, стратегиям и иным документам, касающимся развития страны. Вместе с тем проектом не определяется статус указанных концепций и стратегий. При этом обращаем внимание на то, что частью 3 статьи 14 проекта Закона к стратегическим документам относятся стратегии, программы, соглашения, меморандумы. Правовой статус данных документов также не раскрывается.</w:t>
      </w:r>
    </w:p>
    <w:p>
      <w:pPr>
        <w:spacing w:after="60"/>
        <w:ind w:firstLine="567"/>
        <w:jc w:val="both"/>
      </w:pPr>
      <w:r>
        <w:rPr>
          <w:rFonts w:ascii="Arial" w:cs="Arial" w:eastAsia="Arial" w:hAnsi="Arial"/>
          <w:sz w:val="24"/>
          <w:szCs w:val="24"/>
        </w:rPr>
        <w:t xml:space="preserve">8. В статье 13 проекта Закона целесообразно определить, кем будет осуществляться инициирование стратегического планирования по вопросам, находящимся в ведении Жогорку Кенеша Кыргызской Республики.</w:t>
      </w:r>
    </w:p>
    <w:p>
      <w:pPr>
        <w:spacing w:after="60"/>
        <w:ind w:firstLine="567"/>
        <w:jc w:val="both"/>
      </w:pPr>
      <w:r>
        <w:rPr>
          <w:rFonts w:ascii="Arial" w:cs="Arial" w:eastAsia="Arial" w:hAnsi="Arial"/>
          <w:sz w:val="24"/>
          <w:szCs w:val="24"/>
        </w:rPr>
        <w:t xml:space="preserve">9. В части 2 статьи 15 проекта Закона обозначено, что национальная стратегия, государственные стратегические документы судебной системы утверждаются указами Президента Кыргызской Республики, общегосударственные программы развития страны, государственные стратегические документы Жогорку Кенеша Кыргызской Республики утверждаются постановлениями Жогорку Кенеша Кыргызской Республики, государственные стратегические документы в виде государственных программ утверждаются постановлениями Правительства Кыргызской Республики.</w:t>
      </w:r>
    </w:p>
    <w:p>
      <w:pPr>
        <w:spacing w:after="60"/>
        <w:ind w:firstLine="567"/>
        <w:jc w:val="both"/>
      </w:pPr>
      <w:r>
        <w:rPr>
          <w:rFonts w:ascii="Arial" w:cs="Arial" w:eastAsia="Arial" w:hAnsi="Arial"/>
          <w:sz w:val="24"/>
          <w:szCs w:val="24"/>
        </w:rPr>
        <w:t xml:space="preserve">Вместе с тем следует отметить, что в </w:t>
      </w:r>
      <w:hyperlink w:history="1" r:id="rIdceuiw8707goy85xlbudv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определен исчерпывающий перечень полномочий Президента Кыргызской Республики, в число которых утверждение национальной стратегии и государственных стратегических документов судебной системы не входит.</w:t>
      </w:r>
    </w:p>
    <w:p>
      <w:pPr>
        <w:spacing w:after="60"/>
        <w:ind w:firstLine="567"/>
        <w:jc w:val="both"/>
      </w:pPr>
      <w:r>
        <w:rPr>
          <w:rFonts w:ascii="Arial" w:cs="Arial" w:eastAsia="Arial" w:hAnsi="Arial"/>
          <w:sz w:val="24"/>
          <w:szCs w:val="24"/>
        </w:rPr>
        <w:t xml:space="preserve">10. В части 2 статьи 18 проекта Закона слова "принятого государственного стратегического документа" предлагаем заменить словами "принятой национальной стратегии", так как национальная стратегия - главный государственный стратегический документ, содержащий общее стратегическое видение, направления, цели, задачи, приоритеты стратегического развития страны на долгосрочный период.</w:t>
      </w:r>
    </w:p>
    <w:p>
      <w:pPr>
        <w:spacing w:after="60"/>
        <w:ind w:firstLine="567"/>
        <w:jc w:val="both"/>
      </w:pPr>
      <w:r>
        <w:rPr>
          <w:rFonts w:ascii="Arial" w:cs="Arial" w:eastAsia="Arial" w:hAnsi="Arial"/>
          <w:sz w:val="24"/>
          <w:szCs w:val="24"/>
        </w:rPr>
        <w:t xml:space="preserve">11. В соответствии с </w:t>
      </w:r>
      <w:hyperlink w:history="1" r:id="rIdn5qhs_myqjgshwgn-askk">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Правительстве Кыргызской Республики" и </w:t>
      </w:r>
      <w:hyperlink w:history="1" r:id="rIdd5izcrdtwqxbvrfl6frn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постановления Правительства являются нормативными правовыми актами, отвечающими соответствующим критериям. Из названия документов, указанных в части 2 статьи 19 и части 5 статьи 20 проекта Закона, не представляется возможным определить будут ли названные документы содержать нормы права. В этой связи предлагаем в указанных структурных элементах слово "постановлениями" исключить.</w:t>
      </w:r>
    </w:p>
    <w:p>
      <w:pPr>
        <w:spacing w:after="60"/>
        <w:ind w:firstLine="567"/>
        <w:jc w:val="both"/>
      </w:pPr>
      <w:r>
        <w:rPr>
          <w:rFonts w:ascii="Arial" w:cs="Arial" w:eastAsia="Arial" w:hAnsi="Arial"/>
          <w:sz w:val="24"/>
          <w:szCs w:val="24"/>
        </w:rPr>
        <w:t xml:space="preserve">12. Частью 2 статьи 22 проекта Закона Правительству Кыргызской Республики поручается провести инвентаризацию действующих государственных стратегических документов в течение трех месяцев для их включения в реестр в соответствии со статьей 7 рассматриваемого проекта Закона.</w:t>
      </w:r>
    </w:p>
    <w:p>
      <w:pPr>
        <w:spacing w:after="60"/>
        <w:ind w:firstLine="567"/>
        <w:jc w:val="both"/>
      </w:pPr>
      <w:r>
        <w:rPr>
          <w:rFonts w:ascii="Arial" w:cs="Arial" w:eastAsia="Arial" w:hAnsi="Arial"/>
          <w:sz w:val="24"/>
          <w:szCs w:val="24"/>
        </w:rPr>
        <w:t xml:space="preserve">В то же время в соответствии со статьей 7 проекта Закона уполномоченный государственный орган и порядок инвентаризации государственных стратегических документов определяются Правительством Кыргызской Республики. Соответственно, Правительство Кыргызской Республики примет свое решение по определению уполномоченного государственного органа и утверждению порядка инвентаризации государственных стратегических документов после принятия проекта Закона.</w:t>
      </w:r>
    </w:p>
    <w:p>
      <w:pPr>
        <w:spacing w:after="60"/>
        <w:ind w:firstLine="567"/>
        <w:jc w:val="both"/>
      </w:pPr>
      <w:r>
        <w:rPr>
          <w:rFonts w:ascii="Arial" w:cs="Arial" w:eastAsia="Arial" w:hAnsi="Arial"/>
          <w:sz w:val="24"/>
          <w:szCs w:val="24"/>
        </w:rPr>
        <w:t xml:space="preserve">В этой связи в части 2 статьи 22 проекта Закона считаем необходимым пересмотреть сроки проведения Правительством Кыргызской Республики инвентаризации действующих государственных стратегических документов, с учетом времени первоначального утверждения соответствующих актов Правительства по реализации статьи 7 проекта Закона и дальнейшей деятельности для проведения инвентаризации.</w:t>
      </w:r>
    </w:p>
    <w:p>
      <w:pPr>
        <w:spacing w:after="60"/>
        <w:ind w:firstLine="567"/>
        <w:jc w:val="both"/>
      </w:pPr>
      <w:r>
        <w:rPr>
          <w:rFonts w:ascii="Arial" w:cs="Arial" w:eastAsia="Arial" w:hAnsi="Arial"/>
          <w:sz w:val="24"/>
          <w:szCs w:val="24"/>
        </w:rPr>
        <w:t xml:space="preserve">Также в части 3 статьи 22 проекта Закона Правительству Кыргызской Республики поручается привести свои решения в соответствие с данным проектом Закона в шестимесячный срок со дня принятия проекта Закона.</w:t>
      </w:r>
    </w:p>
    <w:p>
      <w:pPr>
        <w:spacing w:after="60"/>
        <w:ind w:firstLine="567"/>
        <w:jc w:val="both"/>
      </w:pPr>
      <w:r>
        <w:rPr>
          <w:rFonts w:ascii="Arial" w:cs="Arial" w:eastAsia="Arial" w:hAnsi="Arial"/>
          <w:sz w:val="24"/>
          <w:szCs w:val="24"/>
        </w:rPr>
        <w:t xml:space="preserve">Во избежание правового вакуума между Законом и подзаконными актами необходимо увеличить срок вступления в силу Закона.</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в целом поддерживает концепцию законопроекта и считает возможным принятие вышеуказанного проекта Закона с учетом замечаний и предложений, изложенных в настоящем заключении.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uf8_d_nn76dbkhvwwi">
      <w:r>
        <w:rPr>
          <w:rFonts w:ascii="Arial" w:cs="Arial" w:eastAsia="Arial" w:hAnsi="Arial"/>
          <w:color w:val="132D3F"/>
          <w:sz w:val="16"/>
          <w:szCs w:val="16"/>
          <w:u w:val="single"/>
        </w:rPr>
        <w:t xml:space="preserve">dalil.kg/document/12612</w:t>
      </w:r>
    </w:hyperlink>
  </w:p>
  <w:p>
    <w:pPr>
      <w:spacing w:after="0" w:before="40"/>
      <w:jc w:val="center"/>
    </w:pPr>
    <w:hyperlink w:history="1" r:id="rIdrhbns7vtiumfzznqupgv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sgeku7lpp9xgncoogtob" Type="http://schemas.openxmlformats.org/officeDocument/2006/relationships/hyperlink" Target="https://dalil.kg/document/203685" TargetMode="External"/><Relationship Id="rIdaurmceixfhzisjlyhfnjt" Type="http://schemas.openxmlformats.org/officeDocument/2006/relationships/hyperlink" Target="https://dalil.kg/document/12612#p1" TargetMode="External"/><Relationship Id="rId1utafa5dve2fpt24y848k" Type="http://schemas.openxmlformats.org/officeDocument/2006/relationships/hyperlink" Target="https://dalil.kg/document/12612" TargetMode="External"/><Relationship Id="rIdjayv-4ragzviuamw2j6ha" Type="http://schemas.openxmlformats.org/officeDocument/2006/relationships/hyperlink" Target="https://dalil.kg/document/203685" TargetMode="External"/><Relationship Id="rIdmxjfcmzlnwpi3wonppsmn" Type="http://schemas.openxmlformats.org/officeDocument/2006/relationships/hyperlink" Target="https://dalil.kg/document/202591" TargetMode="External"/><Relationship Id="rIdmc11ja6lcwwhd60cw3tuq" Type="http://schemas.openxmlformats.org/officeDocument/2006/relationships/hyperlink" Target="https://dalil.kg/document/202591" TargetMode="External"/><Relationship Id="rIdotxllcpvf8alymd3yayls" Type="http://schemas.openxmlformats.org/officeDocument/2006/relationships/hyperlink" Target="https://dalil.kg/document/202591" TargetMode="External"/><Relationship Id="rIdceuiw8707goy85xlbudvw" Type="http://schemas.openxmlformats.org/officeDocument/2006/relationships/hyperlink" Target="https://dalil.kg/document/202913" TargetMode="External"/><Relationship Id="rIdn5qhs_myqjgshwgn-askk" Type="http://schemas.openxmlformats.org/officeDocument/2006/relationships/hyperlink" Target="https://dalil.kg/document/203685" TargetMode="External"/><Relationship Id="rIdd5izcrdtwqxbvrfl6frne"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uf8_d_nn76dbkhvwwi" Type="http://schemas.openxmlformats.org/officeDocument/2006/relationships/hyperlink" Target="https://dalil.kg/document/12612" TargetMode="External"/><Relationship Id="rIdrhbns7vtiumfzznqupgv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2026-10-02T09:43:58.910Z</dcterms:created>
  <dcterms:modified xsi:type="dcterms:W3CDTF">2026-10-02T09:43:58.910Z</dcterms:modified>
</cp:coreProperties>
</file>

<file path=docProps/custom.xml><?xml version="1.0" encoding="utf-8"?>
<Properties xmlns="http://schemas.openxmlformats.org/officeDocument/2006/custom-properties" xmlns:vt="http://schemas.openxmlformats.org/officeDocument/2006/docPropsVTypes"/>
</file>