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3pqmg0zdi5ivignof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yi7whkiia-zgfy0g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kx08l7iatf1i1cdyyam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fqvt5d-jirz_shru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7yut6vkux-pu9hypy5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подписанному 2 июля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Соглашения о финансировании (проект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Digital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CASA - Кыргызская Республика") между Кыргызской Республикой и Международной ассоциацией развития, подписанного 2 июля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(проект "</w:t>
      </w:r>
      <w:r>
        <w:rPr>
          <w:rFonts w:ascii="Arial" w:cs="Arial" w:eastAsia="Arial" w:hAnsi="Arial"/>
          <w:sz w:val="24"/>
          <w:szCs w:val="24"/>
        </w:rPr>
        <w:t xml:space="preserve">Digital</w:t>
      </w:r>
      <w:r>
        <w:rPr>
          <w:rFonts w:ascii="Arial" w:cs="Arial" w:eastAsia="Arial" w:hAnsi="Arial"/>
          <w:sz w:val="24"/>
          <w:szCs w:val="24"/>
        </w:rPr>
        <w:t xml:space="preserve"> CASA - Кыргызская Республика") между Кыргызской Республикой и Международной ассоциацией развития, подписанное 2 июля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стороной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4 октября 2018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финансировании (проект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Digital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CASA - Кыргызская Республика") между Кыргызской Республикой и Международной ассоциацией развития, подписанному 2 июля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</w:t>
      </w:r>
      <w:r>
        <w:rPr>
          <w:rFonts w:ascii="Arial" w:cs="Arial" w:eastAsia="Arial" w:hAnsi="Arial"/>
          <w:sz w:val="24"/>
          <w:szCs w:val="24"/>
        </w:rPr>
        <w:t xml:space="preserve">Digital</w:t>
      </w:r>
      <w:r>
        <w:rPr>
          <w:rFonts w:ascii="Arial" w:cs="Arial" w:eastAsia="Arial" w:hAnsi="Arial"/>
          <w:sz w:val="24"/>
          <w:szCs w:val="24"/>
        </w:rPr>
        <w:t xml:space="preserve"> CASA - Кыргызская Республика) между Кыргызской Республикой и Международной ассоциацией развития, подписанное 2 июля 2018 года в городе Бишкек, соответствует нормам </w:t>
      </w:r>
      <w:hyperlink w:history="1" r:id="rIdtvqvekacp66uztiyo3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законодательства Кыргызской Республики, а также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внедрение регионального и трансграничного подхода для улучшения широкополосного доступа к Интернету в странах Центральной Азии, не имеющих выхода к морю, и части Южной Азии, путем стимулирования инвестиций частного сектора в инфраструктуру и совершенствования государственной политики и нормативно-правового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</w:t>
      </w:r>
      <w:r>
        <w:rPr>
          <w:rFonts w:ascii="Arial" w:cs="Arial" w:eastAsia="Arial" w:hAnsi="Arial"/>
          <w:sz w:val="24"/>
          <w:szCs w:val="24"/>
        </w:rPr>
        <w:t xml:space="preserve">Digital</w:t>
      </w:r>
      <w:r>
        <w:rPr>
          <w:rFonts w:ascii="Arial" w:cs="Arial" w:eastAsia="Arial" w:hAnsi="Arial"/>
          <w:sz w:val="24"/>
          <w:szCs w:val="24"/>
        </w:rPr>
        <w:t xml:space="preserve"> CASA - Кыргызская Республика" имеет четыре логически связанных компонента: (1) компонент развития телекоммуникационной инфраструктуры (региональная инфраструктура цифровой связанности); (2) компонент по развитию цифровых платформ и "умных" решений (региональные центры обработки данных, цифровые платформы и интеллектуальные решения); (3) компонент по институциональному развитию и созданию благоприятной среды для цифровой экономики; (4) компонент по управлению программой и развитию цифрового лидерства.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компонент "Региональная инфраструктура цифровой связанности" направлен на расширение кыргызской части магистральной сети волоконно-оптических линий связи и усиление трансграничных стыков. Также в рамках данного компонента предусматривается расширение пропускной способности и охвата государственной сети "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Net</w:t>
      </w:r>
      <w:r>
        <w:rPr>
          <w:rFonts w:ascii="Arial" w:cs="Arial" w:eastAsia="Arial" w:hAnsi="Arial"/>
          <w:sz w:val="24"/>
          <w:szCs w:val="24"/>
        </w:rPr>
        <w:t xml:space="preserve">", используемой исключительно в целях официальной государственной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компонент "Региональные центры обработки данных, цифровые платформы и интеллектуальные решения" направлен на создание и развитие: цифровых платформ и услуг на основе облачных технологий, регионального центра обработки данных "</w:t>
      </w:r>
      <w:r>
        <w:rPr>
          <w:rFonts w:ascii="Arial" w:cs="Arial" w:eastAsia="Arial" w:hAnsi="Arial"/>
          <w:sz w:val="24"/>
          <w:szCs w:val="24"/>
        </w:rPr>
        <w:t xml:space="preserve">Eurasia Cloud</w:t>
      </w:r>
      <w:r>
        <w:rPr>
          <w:rFonts w:ascii="Arial" w:cs="Arial" w:eastAsia="Arial" w:hAnsi="Arial"/>
          <w:sz w:val="24"/>
          <w:szCs w:val="24"/>
        </w:rPr>
        <w:t xml:space="preserve">" и государственного центра обработки данных "</w:t>
      </w:r>
      <w:r>
        <w:rPr>
          <w:rFonts w:ascii="Arial" w:cs="Arial" w:eastAsia="Arial" w:hAnsi="Arial"/>
          <w:sz w:val="24"/>
          <w:szCs w:val="24"/>
        </w:rPr>
        <w:t xml:space="preserve">Government Cloud</w:t>
      </w:r>
      <w:r>
        <w:rPr>
          <w:rFonts w:ascii="Arial" w:cs="Arial" w:eastAsia="Arial" w:hAnsi="Arial"/>
          <w:sz w:val="24"/>
          <w:szCs w:val="24"/>
        </w:rPr>
        <w:t xml:space="preserve">" (государственное облако), а также поддержку развития интеллектуальных решений для предоставления цифровых услуг для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третьего компонента "Создание благоприятных условий для цифровой экономики" предусматривается: обеспечение правовой и институциональной основы реализации компонентов проекта; информационно-просветительская кампания; развитие цифровых навыков и компетенции, необходимых в условиях цифровой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компонент "Управление проектом" включает в себя мероприятия по мониторингу и оценке проекта, в том числе независимый финансовый аудит, экологический и социальный мониторинг.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проектом Соглашения о финансировании выделяемые Международной ассоциацией развития средства будут направлены на финансирование расходов на приобретение товаров, работ, услуг, консультационных услуг для реализации компонентов проекта, операционные расходы и повышение квалификации сотрудников исполнительного органа (Государственного комитета информационных технологий и связи Кыргызской Республики) и других государственных органов, задействованных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о финансировании Международная ассоциация развития предоставляет Кыргызской Республике сумму, эквивалентную 17200000 специальных прав заимствования в виде гранта, и сумму, эквивалентную 17200000 специальных прав заимствования в виде кредита. В соответствии с Соглашением о финансировании валютой платежей является доллар США. Следовательно, 17200000 специальных прав заимствования эквивалентны 25 миллионам долларов США (по обменному курсу, действующему на 31 января 2018 года (1 доллар США = 1,457 специальных прав заимствования, с округлением до ближайшей сотни тысяч).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кредита начинается с 15 апреля 2024 года. Комиссия за обслуживание кредита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резервирование неснятого остатка - 0,5%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обслуживание снятого остатка кредитных средств - 0,75% в год от выплаченных сумм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kyihozzzmj-wnq4ub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 и Комитетом по транспорту, коммуникациям, архитектуре и строительству, и одобрен </w:t>
      </w:r>
      <w:hyperlink w:history="1" r:id="rIdzskmqwq5z1qvqbn0qo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2018 года № 219-р.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министром финансов Кыргызской Республики 2 июля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rjlh9trj1r3lysnoa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dalil.kg/document/12623</w:t>
      </w:r>
    </w:hyperlink>
  </w:p>
  <w:p>
    <w:pPr>
      <w:spacing w:after="0" w:before="40"/>
      <w:jc w:val="center"/>
    </w:pPr>
    <w:hyperlink w:history="1" r:id="rIdo_tnfvcqm6d1mexvcjv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pqmg0zdi5ivignoficr" Type="http://schemas.openxmlformats.org/officeDocument/2006/relationships/hyperlink" Target="https://dalil.kg/document/202913" TargetMode="External"/><Relationship Id="rIdnoyi7whkiia-zgfy0guzx" Type="http://schemas.openxmlformats.org/officeDocument/2006/relationships/hyperlink" Target="https://dalil.kg/document/203166" TargetMode="External"/><Relationship Id="rIdkx08l7iatf1i1cdyyamgn" Type="http://schemas.openxmlformats.org/officeDocument/2006/relationships/hyperlink" Target="https://dalil.kg/document/205286" TargetMode="External"/><Relationship Id="rIdtdfqvt5d-jirz_shruorl" Type="http://schemas.openxmlformats.org/officeDocument/2006/relationships/hyperlink" Target="https://dalil.kg/document/12623#p1" TargetMode="External"/><Relationship Id="rIdx7yut6vkux-pu9hypy5m3" Type="http://schemas.openxmlformats.org/officeDocument/2006/relationships/hyperlink" Target="https://dalil.kg/document/12623#p2" TargetMode="External"/><Relationship Id="rIdtvqvekacp66uztiyo3xkc" Type="http://schemas.openxmlformats.org/officeDocument/2006/relationships/hyperlink" Target="https://dalil.kg/document/202913" TargetMode="External"/><Relationship Id="rIdckyihozzzmj-wnq4ubmge" Type="http://schemas.openxmlformats.org/officeDocument/2006/relationships/hyperlink" Target="https://dalil.kg/document/205286" TargetMode="External"/><Relationship Id="rIdzskmqwq5z1qvqbn0qoius" Type="http://schemas.openxmlformats.org/officeDocument/2006/relationships/hyperlink" Target="https://dalil.kg/document/2164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rjlh9trj1r3lysnoagx" Type="http://schemas.openxmlformats.org/officeDocument/2006/relationships/hyperlink" Target="https://dalil.kg/document/12623" TargetMode="External"/><Relationship Id="rIdo_tnfvcqm6d1mexvcjv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2026-10-02T03:04:58.256Z</dcterms:created>
  <dcterms:modified xsi:type="dcterms:W3CDTF">2026-10-02T03:04:58.256Z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