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2018 года № 503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установлении приоритетных видов деятельности (секторов экономики) инвестиционных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</w:t>
      </w:r>
      <w:hyperlink w:history="1" r:id="rIdt3uqjlbhybrhxvupj3n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2021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eoortr9hmayezlvigmc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2023 года № 289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qhbainygj9izcxhgtit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2023 года № 659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применения тарифной льготы, установленной подпунктом 7.1.11 пункта 7 Решения Комиссии Таможенного союза от 27 ноября 2009 года № 130,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jacxitbpkg6olaj52w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следующие приоритетные виды деятельности (секторы экономики), в отношении которых применяется тарифная льгота, установленная подпунктом 7.1.11 пункта 7 Решения Комиссии Таможенного союза от 27 ноября 2009 года № 130: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промышленные производства, основанные на инновационных технологиях;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легкая промышленность;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пищевая промышленность;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энергетика;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сельское хозяйство, производство и переработка сельскохозяйственной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сборочное производство;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туризм;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производство, ориентированное на экспорт;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сети связи и системы коммутаций;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автомобильный транспорт, включая электробусы, автобусы;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банковская и платежная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здравоохранение (медицинское оборудование, включая комплектующие и запасные части для него, а также изделия медицинского назначения);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воздушный транспорт (гражданские пассажирские самолеты).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строительство.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ycotkfz4csucglqdrvn7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мая 2023 года № 289)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Установить, что тарифная льгота, установленная подпунктом 7.1.11 пункта 7 Решения Комиссии Таможенного союза от 27 ноября 2009 года № 130, применяется при соблюдении следующих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инвестиционный проект, в рамках реализации которого ввозится технологическое оборудование, запасные части к нему, сырье и (или) материалы, включенные в реестр инвестиционных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сырье и (или) материалы соответствуют товарам, включенным в реестр инвестиционных проектов, коду Товарной номенклатуры внешнеэкономической деятельности Евразийского экономического союза, количеству, а также иным сведениям, указанным в реестре инвестиционных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технологическое оборудование, запасные части к нему, сырье и (или) материалы ввозятся на таможенную территорию Кыргызской Республики и помещаются под таможенную процедуру выпуска для внутреннего потребления;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технологическое оборудование, комплектующие и запасные части к нему, сырье и (или) материалы в составе готовой продукции, при завершении таможенных процедур свободной таможенной зоны и свободного склада, а также при помещении под таможенную процедуру выпуска для внутреннего потребления.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8yuua12v6juhmekfdi3r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7 октября 2021 года № 201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Установить, что тарифная льгота, установленная подпунктом 7.1.11 пункта 7 Решения Комиссии Таможенного союза от 27 ноября 2009 года № 130, применяется в отношении юридических и физических лиц, субъектов свободных экономических зон, включенных в реестр инвестиционных проектов, соответствующих приоритетным видам деятельности (секторам экономики), при соблюдении условий, установленных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постановления, с 26 октября 2018 года.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el3vi6-n1cowvqbkz23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2023 года № 659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Национальному агентству по инвестициям при Президенте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составить реестр инвестиционных проектов, соответствующих приоритетным видам деятельности (секторам экономики), в соответствии с критериями, установленными абзацем вторым подпункта 7.1.11 пункта 7 Решения Комиссии Таможенного союза от 27 ноября 2009 года № 130, по форме согласно </w:t>
      </w:r>
      <w:hyperlink w:history="1" r:id="rId8ebtmm8qbss8ibbmwvg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реестр инвестиционных проектов в Администрацию Президента Кыргызской Республики,</w:t>
      </w:r>
      <w:r>
        <w:rPr>
          <w:rFonts w:ascii="Arial" w:cs="Arial" w:eastAsia="Arial" w:hAnsi="Arial"/>
          <w:sz w:val="24"/>
          <w:szCs w:val="24"/>
        </w:rPr>
        <w:t xml:space="preserve">Государственную таможенную службу при Министерстве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hyperlink w:history="1" r:id="rIdvrpzpygjzrof7ytrt6e4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2021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kyv6bacivtsdadklmc1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2023 года № 289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5yy0kwca9j48p6ebuhjb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мая 2023 года № 289)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со дня его подписания.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Реестр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инвестиционных проектов, соответствующих приоритетным видам деятельности (секторам экономики)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-_c9t3-xmp1hnofuzscl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2021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n1homucedg1yc1lu9aq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2023 года № 659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6"/>
        <w:gridCol w:w="836"/>
        <w:gridCol w:w="836"/>
        <w:gridCol w:w="836"/>
        <w:gridCol w:w="836"/>
        <w:gridCol w:w="857"/>
        <w:gridCol w:w="857"/>
        <w:gridCol w:w="857"/>
        <w:gridCol w:w="857"/>
        <w:gridCol w:w="857"/>
        <w:gridCol w:w="857"/>
        <w:gridCol w:w="857"/>
      </w:tblGrid>
      <w:tr>
        <w:tc>
          <w:tcPr>
            <w:tcW w:type="dxa" w:w="41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Инвестиционный проект</w:t>
            </w:r>
          </w:p>
        </w:tc>
        <w:tc>
          <w:tcPr>
            <w:tcW w:type="dxa" w:w="5999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Товары</w:t>
            </w:r>
          </w:p>
        </w:tc>
      </w:tr>
      <w:tr>
        <w:tc>
          <w:tcPr>
            <w:tcW w:type="dxa" w:w="8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8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Реквизиты договоров (контрактов, соглашений, решений Правительства Кыргызской Республики)</w:t>
            </w:r>
          </w:p>
        </w:tc>
        <w:tc>
          <w:tcPr>
            <w:tcW w:type="dxa" w:w="8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начала реализации</w:t>
            </w:r>
          </w:p>
        </w:tc>
        <w:tc>
          <w:tcPr>
            <w:tcW w:type="dxa" w:w="8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завершения реализации</w:t>
            </w:r>
          </w:p>
        </w:tc>
        <w:tc>
          <w:tcPr>
            <w:tcW w:type="dxa" w:w="8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ЕАЭС (на уровне 10 разрядов кодового обозначения)</w:t>
            </w:r>
          </w:p>
        </w:tc>
        <w:tc>
          <w:tcPr>
            <w:tcW w:type="dxa" w:w="514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Заявлено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измерения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Стоимость, (долл. США)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 (кг)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 происхождения завозимого товара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ввозных таможенных пошлин, условно начисленная (долл. США)</w:t>
            </w:r>
          </w:p>
        </w:tc>
      </w:tr>
      <w:tr>
        <w:tc>
          <w:tcPr>
            <w:tcW w:type="dxa" w:w="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16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07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В графе 3 указываются реквизиты документа, в соответствии с которым реализуется инвестиционный проект государства-члена Евразийского экономического союза (далее - государство-член).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В графах 7 и 8 указываются сведения о количестве товара, необходимого для реализации инвестиционного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В графах 9-12 указываются сведения из деклараций на товары, оформленных при фактическом ввозе товаров, необходимых для реализации инвестиционного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В графе 9 указывается статистическая стоимость товара, указанная в графе 46 декларации на товары, в соответствии с Инструкцией о порядке заполнения декларации на товары, утвержденной Решением Комиссии Таможенного союза от 20 мая 2010 года № 257 (далее - Инструкция).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В графе 10 указывается вес-нетто, указанный в графе 38 декларации на товары, в соответствии с Инструкцией.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При заполнении графы 12 применяется курс иностранной валюты к валюте государства-члена, установленный национальным (центральным) банком этого государства-члена на день регистрации декларации на товары.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Утвержденный реестр может дополняться новыми товарными позициями в ходе реализации инвестиционного проекта.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Включение инвестиционных проектов в реестр осуществляется после рассмотрения и одобрения кодов Товарной номенклатуры внешнеэкономической деятельности Евразийского экономического союза (на уровне 10 разрядов кодового обозначения) Государственной таможенной службой при 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bbrkm5xfboezhds9s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dalil.kg/document/12668</w:t>
      </w:r>
    </w:hyperlink>
  </w:p>
  <w:p>
    <w:pPr>
      <w:spacing w:after="0" w:before="40"/>
      <w:jc w:val="center"/>
    </w:pPr>
    <w:hyperlink w:history="1" r:id="rId9cwl7oji-c77lbzexlc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3uqjlbhybrhxvupj3nmw" Type="http://schemas.openxmlformats.org/officeDocument/2006/relationships/hyperlink" Target="https://dalil.kg/document/160220" TargetMode="External"/><Relationship Id="rId_eoortr9hmayezlvigmcs" Type="http://schemas.openxmlformats.org/officeDocument/2006/relationships/hyperlink" Target="https://dalil.kg/document/160219" TargetMode="External"/><Relationship Id="rIdyqhbainygj9izcxhgtitg" Type="http://schemas.openxmlformats.org/officeDocument/2006/relationships/hyperlink" Target="https://dalil.kg/document/230001162" TargetMode="External"/><Relationship Id="rIdnjacxitbpkg6olaj52w9u" Type="http://schemas.openxmlformats.org/officeDocument/2006/relationships/hyperlink" Target="https://dalil.kg/document/203685" TargetMode="External"/><Relationship Id="rIdycotkfz4csucglqdrvn7k" Type="http://schemas.openxmlformats.org/officeDocument/2006/relationships/hyperlink" Target="https://dalil.kg/document/160219" TargetMode="External"/><Relationship Id="rId8yuua12v6juhmekfdi3rn" Type="http://schemas.openxmlformats.org/officeDocument/2006/relationships/hyperlink" Target="https://dalil.kg/document/160220" TargetMode="External"/><Relationship Id="rIdlel3vi6-n1cowvqbkz23t" Type="http://schemas.openxmlformats.org/officeDocument/2006/relationships/hyperlink" Target="https://dalil.kg/document/230001162" TargetMode="External"/><Relationship Id="rId8ebtmm8qbss8ibbmwvgm8" Type="http://schemas.openxmlformats.org/officeDocument/2006/relationships/hyperlink" Target="https://dalil.kg/document/12668#p1" TargetMode="External"/><Relationship Id="rIdvrpzpygjzrof7ytrt6e4q" Type="http://schemas.openxmlformats.org/officeDocument/2006/relationships/hyperlink" Target="https://dalil.kg/document/160220" TargetMode="External"/><Relationship Id="rIdbkyv6bacivtsdadklmc1w" Type="http://schemas.openxmlformats.org/officeDocument/2006/relationships/hyperlink" Target="https://dalil.kg/document/160219" TargetMode="External"/><Relationship Id="rId5yy0kwca9j48p6ebuhjbq" Type="http://schemas.openxmlformats.org/officeDocument/2006/relationships/hyperlink" Target="https://dalil.kg/document/160219" TargetMode="External"/><Relationship Id="rId-_c9t3-xmp1hnofuzsclg" Type="http://schemas.openxmlformats.org/officeDocument/2006/relationships/hyperlink" Target="https://dalil.kg/document/160220" TargetMode="External"/><Relationship Id="rIdzn1homucedg1yc1lu9aq5" Type="http://schemas.openxmlformats.org/officeDocument/2006/relationships/hyperlink" Target="https://dalil.kg/document/23000116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bbrkm5xfboezhds9sgv" Type="http://schemas.openxmlformats.org/officeDocument/2006/relationships/hyperlink" Target="https://dalil.kg/document/12668" TargetMode="External"/><Relationship Id="rId9cwl7oji-c77lbzexlc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2026-09-25T04:29:42.733Z</dcterms:created>
  <dcterms:modified xsi:type="dcterms:W3CDTF">2026-09-25T04:29:42.733Z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