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hk0j_ecifl0ckewx304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2018 года № 531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Налоговый кодекс Кыргызской Республики", инициированный депутатами Жогорку Кенеша Кыргызской Республики Асылбаевой Г.К., Кадыкеевым Н.К., Тулендыбаевым П.Р., Жапаровым А.У., Сурабалдиевой Э.Ж., Султановым А.М.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n4aspyudnw9tsrko9r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zs-fdltv6n8-m-p1naz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Налоговый </w:t>
      </w:r>
      <w:hyperlink w:history="1" r:id="rIdrywmpcvubglahmxxbpt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Асылбаевой Г.К., Кадыкеевым Н.К., Тулендыбаевым П.Р., Жапаровым А.У., Сурабалдиевой Э.Ж., Султановым А.М.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7968tnkaufu-rq8urqb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12 ноября 2018 года № 531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Правительства Кыргызской Республики на проект Закона Кыргызской Республики "О внесении изменений в Налоговый кодекс Кыргызской Республики", инициированный депутатами Жогорку Кенеша Кыргызской Республики Асылбаевой Г.К., Кадыкеевым Н.К., Тулендыбаевым П.Р., Жапаровым А.У., Сурабалдиевой Э.Ж., Султановым А.М.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 пунктом 2 части 3 </w:t>
      </w:r>
      <w:r>
        <w:rPr>
          <w:rFonts w:ascii="Arial" w:cs="Arial" w:eastAsia="Arial" w:hAnsi="Arial"/>
          <w:sz w:val="24"/>
          <w:szCs w:val="24"/>
        </w:rPr>
        <w:t xml:space="preserve">статьи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7nfjevcjyq1vcvnjcd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изменений в Налоговый </w:t>
      </w:r>
      <w:hyperlink w:history="1" r:id="rId0tooqgyhgcrjpmvasdf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Асылбаевой Г.К., Кадыкеевым Н.К., Тулендыбаевым П.Р., Жапаровым А.У., Сурабалдиевой Э.Ж., Султановым А.М.,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справкой-обоснованием к данному проекту Закона политика законопроекта направлена на исключение обязательности сдачи информационного расчета по налогу на имущество в налоговый орган, что позволит не только сэкономить затраты и время налогоплательщика, но и снизить затраты органов налоговой службы по сбору, обработке и хранению информационных расчетов по налогу на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поддерживает концепцию проекта Закона Кыргызской Республики "О внесении изменений в Налоговый </w:t>
      </w:r>
      <w:hyperlink w:history="1" r:id="rIdukitqfhm3thxeau1nmq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считаем целесообразным в пункте 2 части 1 </w:t>
      </w:r>
      <w:r>
        <w:rPr>
          <w:rFonts w:ascii="Arial" w:cs="Arial" w:eastAsia="Arial" w:hAnsi="Arial"/>
          <w:sz w:val="24"/>
          <w:szCs w:val="24"/>
        </w:rPr>
        <w:t xml:space="preserve">статьи 332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h2tn9hhfrzo9ujoi6gf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слова "по месту регистрации или временной регистрации объекта имущества" оставить в действующей редакции, поскольку данная норма четко определяет место уплаты налогоплательщиком налога на имущество 4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законопроектом предлагается включить в часть 3 </w:t>
      </w:r>
      <w:r>
        <w:rPr>
          <w:rFonts w:ascii="Arial" w:cs="Arial" w:eastAsia="Arial" w:hAnsi="Arial"/>
          <w:sz w:val="24"/>
          <w:szCs w:val="24"/>
        </w:rPr>
        <w:t xml:space="preserve">статьи 332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akrwbedp8hm3mztrqij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положение, обязывающее налогоплательщиков налога на имущество 4 группы налогов вносить в бюджет сумму налога, подлежащую уплате за фактический период владения и/или пользования объектом имущества, до или на дату государственной регистрации прав.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согласно </w:t>
      </w:r>
      <w:r>
        <w:rPr>
          <w:rFonts w:ascii="Arial" w:cs="Arial" w:eastAsia="Arial" w:hAnsi="Arial"/>
          <w:sz w:val="24"/>
          <w:szCs w:val="24"/>
        </w:rPr>
        <w:t xml:space="preserve">статье 324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tyubjk3bwppf2x2r9v4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к налогооблагаемым объектам 4 группы относятся транспортные средства, включая самоходные машины и механизмы.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время, в соответствии с </w:t>
      </w:r>
      <w:hyperlink w:history="1" r:id="rIdpmibl0o_-fmtzmgmr0t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транспортных средств, установок и оборудования" от 23 июня 2017 года № 407 под государственной регистрацией, перерегистрацией, внесением изменений в регистрационные данные, снятием с учета транспортных средств понимаются действия, осуществляемые посредством внесения в электронную базу данных зарегистрированных транспортных средств и водительского состава сведений о государственной регистрации, перерегистрации транспортных средств и прав собственности на 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действующее законодательство не предусматривает необходимость обязательной государственной регистрации прав владения и/или пользования объектами налогообложения 4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222</w:t>
      </w:r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hyperlink w:history="1" r:id="rIdy1swfyponncktajqadi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право собственности есть признаваемое и охраняемое законодательными актами право субъекта по своему усмотрению владеть, пользоваться и распоряжаться принадлежащим ему имуществом. В связи с этим предлагаем в части 3 </w:t>
      </w:r>
      <w:r>
        <w:rPr>
          <w:rFonts w:ascii="Arial" w:cs="Arial" w:eastAsia="Arial" w:hAnsi="Arial"/>
          <w:sz w:val="24"/>
          <w:szCs w:val="24"/>
        </w:rPr>
        <w:t xml:space="preserve">статьи 332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_-k08q-r1pfmx34vljg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после слова "пользования" дополнить словами "и/или собственности", а также слова "в котором он передает объект имущества" заменить словами "следующего за месяцем передачи объекта имущества", в целях уточнения периода владения объектом имущества первоначальным владельцем, в котором возникает налоговое обязательство.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уточнения момента возникновения налоговых обязательств у нового владельца объекта имущества считаем целесообразным абзац второй части 3 </w:t>
      </w:r>
      <w:r>
        <w:rPr>
          <w:rFonts w:ascii="Arial" w:cs="Arial" w:eastAsia="Arial" w:hAnsi="Arial"/>
          <w:sz w:val="24"/>
          <w:szCs w:val="24"/>
        </w:rPr>
        <w:t xml:space="preserve">статьи 332 </w:t>
      </w:r>
      <w:r>
        <w:rPr>
          <w:rFonts w:ascii="Arial" w:cs="Arial" w:eastAsia="Arial" w:hAnsi="Arial"/>
          <w:sz w:val="24"/>
          <w:szCs w:val="24"/>
        </w:rPr>
        <w:t xml:space="preserve">Налогового </w:t>
      </w:r>
      <w:hyperlink w:history="1" r:id="rIdzimbfc_t0nmv5hoxlgw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после слов "с начала месяца," дополнить словами "следующего за месяцем,".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предполагаемой отменой информационных расчетов необходимо будет внедрить механизмы определения фактического наличия у налогоплательщиков облагаемого имущества в целях администрирования местных налогов.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Начисление по базе данных Государственной регистрационной службы при Правительстве Кыргызской Республики на сегодняшний день затруднительно, поскольку: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законодательство Кыргызской Республики позволяет гражданам приобретать автотранспортное средство по доверенности, что приводит к трудностям при определении фактического владельца и, соответственно, к администрированию налога;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регистрирующими органами не осуществляется государственная регистрация объектов имущества 3 группы, т.е. контейнеров, киосков, в связи с чем начисление налога по объектам имущества 3 группы не представляется возможным.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Предполагается, что факт уплаты налога одновременно будет являться подтверждением признания суммы налогового обязательства в размере уплаченной суммы и даты ее возникновения. Иначе не может быть произведено начисление налога и предъявлены меры ответственности, например, за занижение суммы налога.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предлагаем Налоговый </w:t>
      </w:r>
      <w:hyperlink w:history="1" r:id="rIdccza2zbx9t0ohtzmtr9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дополнить статьями 332-1 и 342-1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332-1. Представление отчетности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Если иное не установлено настоящей статьей, налогоплательщик налога на имущество, обязанный в соответствии с настоящим </w:t>
      </w:r>
      <w:hyperlink w:history="1" r:id="rIdj3ng8tf-g2qh22wkmhp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составлять и представлять единую налоговую декларацию, обязан указать в ней по всем принадлежащим ему объектам имущества: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налоговое обязательство по налогу на имущество и его исполнение за отчетный налоговый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налоговое обязательство по всем объектам имущества на текущий налоговый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у налогоплательщика возникает/изменяется/прекращается налоговое обязательство по налогу на имущество в течение периода: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между датой начала текущего налогового периода до даты представления единой налоговой декларации за предыдущий налоговый период, - налогоплательщик указывает в единой налоговой декларации налоговые обязательства на текущий налоговый период, с учетом фактического возникновения/изменения/прекращения налогового обязательства, произошедшего до даты подачи единой налоговой декларации;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между датой представления единой налоговой декларации за предыдущий налоговый период и датой окончания текущего налогового периода, - субъект представляет в налоговый орган уведомление в срок не позднее последнего числа месяца, в котором возникло/изменилось/прекратилось налоговое обязательство по налогу на имущество: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месту учетной регистрации объекта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месту налоговой регистрации налогоплательщика - при регистрации налогоплательщика и объекта имущества в пределах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Форма уведомления утверждается Правительством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342-1. Представление отчетности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Если иное не установлено настоящей статьей, налогоплательщик земельного налога, обязанный в соответствии с настоящим Кодексом составлять и представлять единую налоговую декларацию, обязан указать в ней по всем принадлежащим ему земельным участкам: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налоговое обязательство по земельному налогу и его исполнение за отчетный налоговый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налоговое обязательство по всем земельным участкам на текущий налоговый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у налогоплательщика возникает/изменяется/прекращается налоговое обязательство по земельному налогу в течение периода: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между датой начала текущего налогового периода до даты представления единой налоговой декларации за предыдущий налоговый период, - налогоплательщик указывает в единой налоговой декларации налоговые обязательства на текущий налоговый период, с учетом фактического возникновения/изменения/прекращения налогового обязательства, произошедшего до даты подачи единой налоговой декларации;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между датой представления единой налоговой декларации за предыдущий налоговый период и датой окончания текущего налогового периода, - субъект представляет в налоговый орган уведомление в срок не позднее последнего числа месяца, в котором возникло/изменилось/прекратилось налоговое обязательство по земельному налогу.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Форма уведомления утверждается Правительством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облегчения обязательств и сокращения издержек плательщиков земельного налога, предлагаем часть 7 </w:t>
      </w:r>
      <w:r>
        <w:rPr>
          <w:rFonts w:ascii="Arial" w:cs="Arial" w:eastAsia="Arial" w:hAnsi="Arial"/>
          <w:sz w:val="24"/>
          <w:szCs w:val="24"/>
        </w:rPr>
        <w:t xml:space="preserve">статьи 342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j3vd3sdejmobnktjct2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признать утратившей силу, а также в целях обеспечения полноты начисления земельного налога в текущем году и исключения "искусственной переплаты", считаем целесообразным предусмотреть вступление в силу данного законопроекта с 1 января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поддерживает принятие рассматриваемого проекта Закона, при этом считает целесообразным рассмотреть предлагаемые рекомендации.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kadrnzocjyryrwej6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dalil.kg/document/12716</w:t>
      </w:r>
    </w:hyperlink>
  </w:p>
  <w:p>
    <w:pPr>
      <w:spacing w:after="0" w:before="40"/>
      <w:jc w:val="center"/>
    </w:pPr>
    <w:hyperlink w:history="1" r:id="rId-rblicqkbxnxr5g22us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k0j_ecifl0ckewx304s" Type="http://schemas.openxmlformats.org/officeDocument/2006/relationships/hyperlink" Target="https://dalil.kg/document/230000286" TargetMode="External"/><Relationship Id="rIden4aspyudnw9tsrko9rom" Type="http://schemas.openxmlformats.org/officeDocument/2006/relationships/hyperlink" Target="https://dalil.kg/document/203685" TargetMode="External"/><Relationship Id="rIdzs-fdltv6n8-m-p1nazjz" Type="http://schemas.openxmlformats.org/officeDocument/2006/relationships/hyperlink" Target="https://dalil.kg/document/12716#p1" TargetMode="External"/><Relationship Id="rIdrywmpcvubglahmxxbpt0m" Type="http://schemas.openxmlformats.org/officeDocument/2006/relationships/hyperlink" Target="https://dalil.kg/document/202445" TargetMode="External"/><Relationship Id="rId7968tnkaufu-rq8urqbap" Type="http://schemas.openxmlformats.org/officeDocument/2006/relationships/hyperlink" Target="https://dalil.kg/document/12716" TargetMode="External"/><Relationship Id="rIde7nfjevcjyq1vcvnjcdnm" Type="http://schemas.openxmlformats.org/officeDocument/2006/relationships/hyperlink" Target="https://dalil.kg/document/203685" TargetMode="External"/><Relationship Id="rId0tooqgyhgcrjpmvasdftk" Type="http://schemas.openxmlformats.org/officeDocument/2006/relationships/hyperlink" Target="https://dalil.kg/document/202445" TargetMode="External"/><Relationship Id="rIdukitqfhm3thxeau1nmqex" Type="http://schemas.openxmlformats.org/officeDocument/2006/relationships/hyperlink" Target="https://dalil.kg/document/202445" TargetMode="External"/><Relationship Id="rIdh2tn9hhfrzo9ujoi6gf8t" Type="http://schemas.openxmlformats.org/officeDocument/2006/relationships/hyperlink" Target="https://dalil.kg/document/202445" TargetMode="External"/><Relationship Id="rIdakrwbedp8hm3mztrqij1p" Type="http://schemas.openxmlformats.org/officeDocument/2006/relationships/hyperlink" Target="https://dalil.kg/document/202445" TargetMode="External"/><Relationship Id="rIdtyubjk3bwppf2x2r9v4yt" Type="http://schemas.openxmlformats.org/officeDocument/2006/relationships/hyperlink" Target="https://dalil.kg/document/202445" TargetMode="External"/><Relationship Id="rIdpmibl0o_-fmtzmgmr0trp" Type="http://schemas.openxmlformats.org/officeDocument/2006/relationships/hyperlink" Target="https://dalil.kg/document/100148" TargetMode="External"/><Relationship Id="rIdy1swfyponncktajqadiw4" Type="http://schemas.openxmlformats.org/officeDocument/2006/relationships/hyperlink" Target="https://dalil.kg/document/4" TargetMode="External"/><Relationship Id="rId_-k08q-r1pfmx34vljgev" Type="http://schemas.openxmlformats.org/officeDocument/2006/relationships/hyperlink" Target="https://dalil.kg/document/202445" TargetMode="External"/><Relationship Id="rIdzimbfc_t0nmv5hoxlgwyz" Type="http://schemas.openxmlformats.org/officeDocument/2006/relationships/hyperlink" Target="https://dalil.kg/document/202445" TargetMode="External"/><Relationship Id="rIdccza2zbx9t0ohtzmtr9lb" Type="http://schemas.openxmlformats.org/officeDocument/2006/relationships/hyperlink" Target="https://dalil.kg/document/202445" TargetMode="External"/><Relationship Id="rIdj3ng8tf-g2qh22wkmhpe0" Type="http://schemas.openxmlformats.org/officeDocument/2006/relationships/hyperlink" Target="https://dalil.kg/document/202445" TargetMode="External"/><Relationship Id="rIdj3vd3sdejmobnktjct2mp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kadrnzocjyryrwej6ez" Type="http://schemas.openxmlformats.org/officeDocument/2006/relationships/hyperlink" Target="https://dalil.kg/document/12716" TargetMode="External"/><Relationship Id="rId-rblicqkbxnxr5g22us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2026-09-23T16:43:10.423Z</dcterms:created>
  <dcterms:modified xsi:type="dcterms:W3CDTF">2026-09-23T16:43:10.423Z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